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CF7F" w14:textId="77777777" w:rsidR="00253FE8" w:rsidRPr="00E023EA" w:rsidRDefault="00253FE8" w:rsidP="00232F8B">
      <w:pPr>
        <w:spacing w:after="0" w:line="240" w:lineRule="auto"/>
      </w:pPr>
      <w:bookmarkStart w:id="0" w:name="_Hlk104361241"/>
      <w:r w:rsidRPr="00E023EA">
        <w:t>For Immediate Release</w:t>
      </w:r>
    </w:p>
    <w:p w14:paraId="0508E361" w14:textId="77777777" w:rsidR="00253FE8" w:rsidRPr="00E023EA" w:rsidRDefault="00253FE8" w:rsidP="00232F8B">
      <w:pPr>
        <w:spacing w:after="0" w:line="240" w:lineRule="auto"/>
      </w:pPr>
      <w:r w:rsidRPr="00E023EA">
        <w:t>Citigroup Inc. (NYSE: C)</w:t>
      </w:r>
      <w:r w:rsidRPr="00E023EA">
        <w:rPr>
          <w:snapToGrid w:val="0"/>
          <w:color w:val="FFFFFF"/>
          <w:bdr w:val="none" w:sz="0" w:space="0" w:color="auto" w:frame="1"/>
          <w:shd w:val="clear" w:color="auto" w:fill="000000"/>
        </w:rPr>
        <w:t xml:space="preserve"> </w:t>
      </w:r>
    </w:p>
    <w:p w14:paraId="4107A21C" w14:textId="3DEEF8A6" w:rsidR="00253FE8" w:rsidRPr="00C07040" w:rsidRDefault="00C07040" w:rsidP="00232F8B">
      <w:pPr>
        <w:spacing w:after="0" w:line="240" w:lineRule="auto"/>
      </w:pPr>
      <w:r w:rsidRPr="00C07040">
        <w:t>25</w:t>
      </w:r>
      <w:r w:rsidRPr="00C07040">
        <w:rPr>
          <w:vertAlign w:val="superscript"/>
        </w:rPr>
        <w:t>th</w:t>
      </w:r>
      <w:r w:rsidRPr="00C07040">
        <w:t xml:space="preserve"> May 2022</w:t>
      </w:r>
    </w:p>
    <w:p w14:paraId="08895E17" w14:textId="77777777" w:rsidR="00945BA1" w:rsidRPr="00E023EA" w:rsidRDefault="00945BA1" w:rsidP="00945BA1">
      <w:pPr>
        <w:pStyle w:val="Default"/>
        <w:rPr>
          <w:sz w:val="22"/>
          <w:szCs w:val="22"/>
        </w:rPr>
      </w:pPr>
    </w:p>
    <w:p w14:paraId="63265079" w14:textId="55226965" w:rsidR="00AE4A36" w:rsidRPr="00E91139" w:rsidRDefault="00AE4A36" w:rsidP="00527B1F">
      <w:pPr>
        <w:jc w:val="center"/>
        <w:rPr>
          <w:b/>
          <w:bCs/>
          <w:lang w:val="en-GB"/>
        </w:rPr>
      </w:pPr>
      <w:bookmarkStart w:id="1" w:name="_Hlk95381430"/>
      <w:r w:rsidRPr="00E91139">
        <w:rPr>
          <w:b/>
        </w:rPr>
        <w:t xml:space="preserve">Citi </w:t>
      </w:r>
      <w:r w:rsidR="00CE17C8" w:rsidRPr="00E91139">
        <w:rPr>
          <w:b/>
        </w:rPr>
        <w:t xml:space="preserve">Launches </w:t>
      </w:r>
      <w:r w:rsidR="00133011" w:rsidRPr="00E91139">
        <w:rPr>
          <w:b/>
        </w:rPr>
        <w:t xml:space="preserve">New </w:t>
      </w:r>
      <w:r w:rsidR="00D50E21" w:rsidRPr="00E91139">
        <w:rPr>
          <w:b/>
        </w:rPr>
        <w:t>Deposit Solutions</w:t>
      </w:r>
      <w:r w:rsidR="00614471" w:rsidRPr="00E91139">
        <w:rPr>
          <w:b/>
        </w:rPr>
        <w:t xml:space="preserve"> </w:t>
      </w:r>
      <w:r w:rsidR="00796AA7" w:rsidRPr="00E91139">
        <w:rPr>
          <w:b/>
        </w:rPr>
        <w:t>to Support Clients</w:t>
      </w:r>
      <w:r w:rsidR="0053761C" w:rsidRPr="00E91139">
        <w:rPr>
          <w:b/>
        </w:rPr>
        <w:t>’</w:t>
      </w:r>
      <w:r w:rsidR="00796AA7" w:rsidRPr="00E91139">
        <w:rPr>
          <w:b/>
        </w:rPr>
        <w:t xml:space="preserve"> Sustainability Agenda</w:t>
      </w:r>
    </w:p>
    <w:p w14:paraId="78E6A00F" w14:textId="5AE82CBC" w:rsidR="00AE4A36" w:rsidRPr="00E023EA" w:rsidRDefault="00D757F3" w:rsidP="00D757F3">
      <w:pPr>
        <w:spacing w:after="0" w:line="240" w:lineRule="auto"/>
        <w:rPr>
          <w:rFonts w:eastAsia="Times New Roman"/>
          <w:lang w:eastAsia="en-GB"/>
        </w:rPr>
      </w:pPr>
      <w:r w:rsidRPr="00E023EA">
        <w:rPr>
          <w:rFonts w:eastAsia="Arial"/>
          <w:b/>
          <w:bCs/>
        </w:rPr>
        <w:t>London</w:t>
      </w:r>
      <w:r w:rsidR="009A65CD" w:rsidRPr="00E023EA">
        <w:rPr>
          <w:rFonts w:eastAsia="Arial"/>
          <w:b/>
          <w:bCs/>
        </w:rPr>
        <w:t xml:space="preserve"> (Ireland, ADGM)</w:t>
      </w:r>
      <w:r w:rsidRPr="00E023EA">
        <w:rPr>
          <w:rFonts w:eastAsia="Arial"/>
          <w:b/>
          <w:bCs/>
        </w:rPr>
        <w:t>:</w:t>
      </w:r>
      <w:r w:rsidR="002F4319" w:rsidRPr="00E023EA">
        <w:rPr>
          <w:rFonts w:eastAsia="Arial"/>
          <w:b/>
          <w:bCs/>
        </w:rPr>
        <w:t xml:space="preserve"> </w:t>
      </w:r>
      <w:bookmarkEnd w:id="1"/>
      <w:r w:rsidRPr="00E023EA">
        <w:rPr>
          <w:rFonts w:eastAsia="Times New Roman"/>
          <w:lang w:eastAsia="en-GB"/>
        </w:rPr>
        <w:t xml:space="preserve">Citi </w:t>
      </w:r>
      <w:r w:rsidR="00796AA7" w:rsidRPr="00E023EA">
        <w:rPr>
          <w:rFonts w:eastAsia="Times New Roman"/>
          <w:lang w:eastAsia="en-GB"/>
        </w:rPr>
        <w:t xml:space="preserve">has announced </w:t>
      </w:r>
      <w:r w:rsidR="00CE763D" w:rsidRPr="00E023EA">
        <w:rPr>
          <w:rFonts w:eastAsia="Times New Roman"/>
          <w:lang w:eastAsia="en-GB"/>
        </w:rPr>
        <w:t>the</w:t>
      </w:r>
      <w:r w:rsidR="00796AA7" w:rsidRPr="00E023EA">
        <w:rPr>
          <w:rFonts w:eastAsia="Times New Roman"/>
          <w:lang w:eastAsia="en-GB"/>
        </w:rPr>
        <w:t xml:space="preserve"> launch</w:t>
      </w:r>
      <w:r w:rsidR="00CE763D" w:rsidRPr="00E023EA">
        <w:rPr>
          <w:rFonts w:eastAsia="Times New Roman"/>
          <w:lang w:eastAsia="en-GB"/>
        </w:rPr>
        <w:t xml:space="preserve"> of</w:t>
      </w:r>
      <w:r w:rsidR="00796AA7" w:rsidRPr="00E023EA">
        <w:rPr>
          <w:rFonts w:eastAsia="Times New Roman"/>
          <w:lang w:eastAsia="en-GB"/>
        </w:rPr>
        <w:t xml:space="preserve"> </w:t>
      </w:r>
      <w:r w:rsidR="00B81AAB" w:rsidRPr="00E023EA">
        <w:rPr>
          <w:rFonts w:eastAsia="Times New Roman"/>
          <w:lang w:eastAsia="en-GB"/>
        </w:rPr>
        <w:t xml:space="preserve">new </w:t>
      </w:r>
      <w:r w:rsidR="0074258D" w:rsidRPr="00E023EA">
        <w:rPr>
          <w:rFonts w:eastAsia="Times New Roman"/>
          <w:lang w:eastAsia="en-GB"/>
        </w:rPr>
        <w:t>d</w:t>
      </w:r>
      <w:r w:rsidR="00B81AAB" w:rsidRPr="00E023EA">
        <w:rPr>
          <w:rFonts w:eastAsia="Times New Roman"/>
          <w:lang w:eastAsia="en-GB"/>
        </w:rPr>
        <w:t xml:space="preserve">eposit solutions </w:t>
      </w:r>
      <w:r w:rsidR="00796AA7" w:rsidRPr="00E023EA">
        <w:rPr>
          <w:rFonts w:eastAsia="Times New Roman"/>
          <w:lang w:eastAsia="en-GB"/>
        </w:rPr>
        <w:t xml:space="preserve">designed to assist clients in investing excess cash as part of their sustainability agenda. </w:t>
      </w:r>
    </w:p>
    <w:p w14:paraId="10B5D990" w14:textId="1C567D55" w:rsidR="00D01DBB" w:rsidRPr="00E023EA" w:rsidRDefault="00D01DBB" w:rsidP="00D757F3">
      <w:pPr>
        <w:spacing w:after="0" w:line="240" w:lineRule="auto"/>
        <w:rPr>
          <w:rFonts w:eastAsia="Times New Roman"/>
          <w:lang w:eastAsia="en-GB"/>
        </w:rPr>
      </w:pPr>
    </w:p>
    <w:p w14:paraId="27DCB947" w14:textId="0D3662F3" w:rsidR="009F6613" w:rsidRPr="00E023EA" w:rsidRDefault="0026370F" w:rsidP="009F6613">
      <w:pPr>
        <w:spacing w:after="0" w:line="240" w:lineRule="auto"/>
        <w:rPr>
          <w:rFonts w:eastAsia="Times New Roman"/>
          <w:lang w:eastAsia="en-GB"/>
        </w:rPr>
      </w:pPr>
      <w:r w:rsidRPr="00E023EA">
        <w:rPr>
          <w:rFonts w:asciiTheme="minorHAnsi" w:hAnsiTheme="minorHAnsi" w:cstheme="minorHAnsi"/>
          <w:lang w:val="en-GB"/>
        </w:rPr>
        <w:t>The two new deposits –</w:t>
      </w:r>
      <w:r w:rsidR="009F6613" w:rsidRPr="00E023EA">
        <w:rPr>
          <w:rFonts w:asciiTheme="minorHAnsi" w:hAnsiTheme="minorHAnsi" w:cstheme="minorHAnsi"/>
          <w:lang w:val="en-GB"/>
        </w:rPr>
        <w:t xml:space="preserve"> </w:t>
      </w:r>
      <w:r w:rsidR="00662B52" w:rsidRPr="00E023EA">
        <w:rPr>
          <w:rFonts w:asciiTheme="minorHAnsi" w:hAnsiTheme="minorHAnsi" w:cstheme="minorHAnsi"/>
          <w:lang w:val="en-GB"/>
        </w:rPr>
        <w:t>Sustainable Time Deposit (TD) and Sustainable Minimum Maturity Time Deposits (MMTD)</w:t>
      </w:r>
      <w:r w:rsidR="001D2C0A" w:rsidRPr="00E023EA">
        <w:rPr>
          <w:rFonts w:asciiTheme="minorHAnsi" w:hAnsiTheme="minorHAnsi" w:cstheme="minorHAnsi"/>
          <w:lang w:val="en-GB"/>
        </w:rPr>
        <w:t xml:space="preserve"> - </w:t>
      </w:r>
      <w:r w:rsidR="009F6613" w:rsidRPr="00E023EA">
        <w:rPr>
          <w:rFonts w:asciiTheme="minorHAnsi" w:hAnsiTheme="minorHAnsi" w:cstheme="minorHAnsi"/>
          <w:lang w:val="en-GB"/>
        </w:rPr>
        <w:t>deliver competitive yield</w:t>
      </w:r>
      <w:r w:rsidR="00FC2777">
        <w:rPr>
          <w:rFonts w:asciiTheme="minorHAnsi" w:hAnsiTheme="minorHAnsi" w:cstheme="minorHAnsi"/>
          <w:lang w:val="en-GB"/>
        </w:rPr>
        <w:t>s</w:t>
      </w:r>
      <w:r w:rsidR="009F6613" w:rsidRPr="00E023EA">
        <w:rPr>
          <w:rFonts w:asciiTheme="minorHAnsi" w:hAnsiTheme="minorHAnsi" w:cstheme="minorHAnsi"/>
          <w:lang w:val="en-GB"/>
        </w:rPr>
        <w:t xml:space="preserve"> and</w:t>
      </w:r>
      <w:r w:rsidR="00662B52" w:rsidRPr="00E023EA">
        <w:rPr>
          <w:rFonts w:asciiTheme="minorHAnsi" w:hAnsiTheme="minorHAnsi" w:cstheme="minorHAnsi"/>
          <w:lang w:val="en-GB"/>
        </w:rPr>
        <w:t xml:space="preserve"> </w:t>
      </w:r>
      <w:r w:rsidR="009F6613" w:rsidRPr="00E023EA">
        <w:rPr>
          <w:rFonts w:eastAsia="Times New Roman"/>
          <w:lang w:eastAsia="en-GB"/>
        </w:rPr>
        <w:t xml:space="preserve">are </w:t>
      </w:r>
      <w:r w:rsidR="006F0205" w:rsidRPr="00E023EA">
        <w:rPr>
          <w:rFonts w:eastAsia="Times New Roman"/>
          <w:lang w:eastAsia="en-GB"/>
        </w:rPr>
        <w:t>based upon</w:t>
      </w:r>
      <w:r w:rsidR="006F0205" w:rsidRPr="00E023EA">
        <w:rPr>
          <w:rFonts w:eastAsia="Times New Roman"/>
          <w:lang w:val="en-GB" w:eastAsia="en-GB"/>
        </w:rPr>
        <w:t xml:space="preserve"> </w:t>
      </w:r>
      <w:r w:rsidR="0053761C" w:rsidRPr="00E023EA">
        <w:rPr>
          <w:rFonts w:eastAsia="Times New Roman"/>
          <w:lang w:val="en-GB" w:eastAsia="en-GB"/>
        </w:rPr>
        <w:t>Citi’s</w:t>
      </w:r>
      <w:r w:rsidR="006F0205" w:rsidRPr="00E023EA">
        <w:rPr>
          <w:rFonts w:eastAsia="Times New Roman"/>
          <w:lang w:val="en-GB" w:eastAsia="en-GB"/>
        </w:rPr>
        <w:t xml:space="preserve"> </w:t>
      </w:r>
      <w:r w:rsidR="0053761C" w:rsidRPr="00E023EA">
        <w:rPr>
          <w:rFonts w:eastAsia="Times New Roman"/>
          <w:lang w:val="en-GB" w:eastAsia="en-GB"/>
        </w:rPr>
        <w:t xml:space="preserve">green and social </w:t>
      </w:r>
      <w:r w:rsidR="006F0205" w:rsidRPr="00E023EA">
        <w:rPr>
          <w:rFonts w:eastAsia="Times New Roman"/>
          <w:lang w:val="en-GB" w:eastAsia="en-GB"/>
        </w:rPr>
        <w:t>bond f</w:t>
      </w:r>
      <w:r w:rsidR="009F6613" w:rsidRPr="00E023EA">
        <w:rPr>
          <w:rFonts w:asciiTheme="minorHAnsi" w:hAnsiTheme="minorHAnsi" w:cstheme="minorHAnsi"/>
          <w:lang w:val="en-GB"/>
        </w:rPr>
        <w:t>ramework</w:t>
      </w:r>
      <w:r w:rsidR="009A65CD" w:rsidRPr="00E023EA">
        <w:rPr>
          <w:rFonts w:asciiTheme="minorHAnsi" w:hAnsiTheme="minorHAnsi" w:cstheme="minorHAnsi"/>
          <w:lang w:val="en-GB"/>
        </w:rPr>
        <w:t>s</w:t>
      </w:r>
      <w:r w:rsidR="0053761C" w:rsidRPr="00E023EA">
        <w:rPr>
          <w:rFonts w:asciiTheme="minorHAnsi" w:hAnsiTheme="minorHAnsi" w:cstheme="minorHAnsi"/>
          <w:lang w:val="en-GB"/>
        </w:rPr>
        <w:t xml:space="preserve">, </w:t>
      </w:r>
      <w:r w:rsidR="00E023EA" w:rsidRPr="00E023EA">
        <w:rPr>
          <w:rFonts w:asciiTheme="minorHAnsi" w:hAnsiTheme="minorHAnsi" w:cstheme="minorHAnsi"/>
          <w:lang w:val="en-GB"/>
        </w:rPr>
        <w:t>supporting</w:t>
      </w:r>
      <w:r w:rsidR="0053761C" w:rsidRPr="00E023EA">
        <w:rPr>
          <w:rFonts w:asciiTheme="minorHAnsi" w:hAnsiTheme="minorHAnsi" w:cstheme="minorHAnsi"/>
          <w:lang w:val="en-GB"/>
        </w:rPr>
        <w:t xml:space="preserve"> the Sustainable Development Goals (SDGs).</w:t>
      </w:r>
      <w:r w:rsidR="006F0205" w:rsidRPr="00E023EA">
        <w:rPr>
          <w:rFonts w:asciiTheme="minorHAnsi" w:hAnsiTheme="minorHAnsi" w:cstheme="minorHAnsi"/>
          <w:lang w:val="en-GB"/>
        </w:rPr>
        <w:t xml:space="preserve"> </w:t>
      </w:r>
    </w:p>
    <w:p w14:paraId="25C25716" w14:textId="51E55BAE" w:rsidR="0026370F" w:rsidRPr="00E023EA" w:rsidRDefault="0026370F" w:rsidP="00662B52">
      <w:pPr>
        <w:autoSpaceDE w:val="0"/>
        <w:autoSpaceDN w:val="0"/>
        <w:adjustRightInd w:val="0"/>
        <w:spacing w:after="0" w:line="240" w:lineRule="auto"/>
        <w:rPr>
          <w:rFonts w:asciiTheme="minorHAnsi" w:hAnsiTheme="minorHAnsi" w:cstheme="minorHAnsi"/>
        </w:rPr>
      </w:pPr>
    </w:p>
    <w:p w14:paraId="455F5380" w14:textId="26BF5C7B" w:rsidR="001D2C0A" w:rsidRPr="00E023EA" w:rsidRDefault="001D2C0A" w:rsidP="001D2C0A">
      <w:pPr>
        <w:autoSpaceDE w:val="0"/>
        <w:autoSpaceDN w:val="0"/>
        <w:adjustRightInd w:val="0"/>
        <w:spacing w:after="0" w:line="240" w:lineRule="auto"/>
        <w:rPr>
          <w:rFonts w:asciiTheme="minorHAnsi" w:hAnsiTheme="minorHAnsi" w:cstheme="minorHAnsi"/>
          <w:i/>
          <w:iCs/>
          <w:lang w:val="en-GB"/>
        </w:rPr>
      </w:pPr>
      <w:r w:rsidRPr="00E023EA">
        <w:rPr>
          <w:rFonts w:asciiTheme="minorHAnsi" w:hAnsiTheme="minorHAnsi" w:cstheme="minorHAnsi"/>
          <w:lang w:val="en-GB"/>
        </w:rPr>
        <w:t>Czeslaw Piasek, EMEA Head of Liquidity Management Services, Treasury and Trade Solutions, Citi, commented:</w:t>
      </w:r>
      <w:r w:rsidRPr="00E023EA">
        <w:rPr>
          <w:rFonts w:asciiTheme="minorHAnsi" w:hAnsiTheme="minorHAnsi" w:cstheme="minorHAnsi"/>
          <w:i/>
          <w:iCs/>
          <w:lang w:val="en-GB"/>
        </w:rPr>
        <w:t xml:space="preserve"> “</w:t>
      </w:r>
      <w:r w:rsidR="009B268F" w:rsidRPr="00E023EA">
        <w:rPr>
          <w:rFonts w:asciiTheme="minorHAnsi" w:hAnsiTheme="minorHAnsi" w:cstheme="minorHAnsi"/>
          <w:i/>
          <w:iCs/>
          <w:lang w:val="en-GB"/>
        </w:rPr>
        <w:t>Sustainability is no longer</w:t>
      </w:r>
      <w:r w:rsidR="00750294" w:rsidRPr="00E023EA">
        <w:rPr>
          <w:rFonts w:asciiTheme="minorHAnsi" w:hAnsiTheme="minorHAnsi" w:cstheme="minorHAnsi"/>
          <w:i/>
          <w:iCs/>
          <w:lang w:val="en-GB"/>
        </w:rPr>
        <w:t xml:space="preserve"> an </w:t>
      </w:r>
      <w:r w:rsidR="009B268F" w:rsidRPr="00E023EA">
        <w:rPr>
          <w:rFonts w:asciiTheme="minorHAnsi" w:hAnsiTheme="minorHAnsi" w:cstheme="minorHAnsi"/>
          <w:i/>
          <w:iCs/>
          <w:lang w:val="en-GB"/>
        </w:rPr>
        <w:t xml:space="preserve">executive level </w:t>
      </w:r>
      <w:r w:rsidR="00A60171">
        <w:rPr>
          <w:rFonts w:asciiTheme="minorHAnsi" w:hAnsiTheme="minorHAnsi" w:cstheme="minorHAnsi"/>
          <w:i/>
          <w:iCs/>
          <w:lang w:val="en-GB"/>
        </w:rPr>
        <w:t xml:space="preserve">only </w:t>
      </w:r>
      <w:r w:rsidR="009B268F" w:rsidRPr="00E023EA">
        <w:rPr>
          <w:rFonts w:asciiTheme="minorHAnsi" w:hAnsiTheme="minorHAnsi" w:cstheme="minorHAnsi"/>
          <w:i/>
          <w:iCs/>
          <w:lang w:val="en-GB"/>
        </w:rPr>
        <w:t xml:space="preserve">discussion. </w:t>
      </w:r>
      <w:r w:rsidRPr="00E023EA">
        <w:rPr>
          <w:rFonts w:asciiTheme="minorHAnsi" w:hAnsiTheme="minorHAnsi" w:cstheme="minorHAnsi"/>
          <w:i/>
          <w:iCs/>
          <w:lang w:val="en-GB"/>
        </w:rPr>
        <w:t xml:space="preserve">Finance and treasury departments </w:t>
      </w:r>
      <w:r w:rsidR="00750294" w:rsidRPr="00E023EA">
        <w:rPr>
          <w:rFonts w:asciiTheme="minorHAnsi" w:hAnsiTheme="minorHAnsi" w:cstheme="minorHAnsi"/>
          <w:i/>
          <w:iCs/>
          <w:lang w:val="en-GB"/>
        </w:rPr>
        <w:t>can</w:t>
      </w:r>
      <w:r w:rsidRPr="00E023EA">
        <w:rPr>
          <w:rFonts w:asciiTheme="minorHAnsi" w:hAnsiTheme="minorHAnsi" w:cstheme="minorHAnsi"/>
          <w:i/>
          <w:iCs/>
          <w:lang w:val="en-GB"/>
        </w:rPr>
        <w:t xml:space="preserve"> play a strategic role in helping their firms to deliver on E</w:t>
      </w:r>
      <w:r w:rsidR="001B5EE3" w:rsidRPr="00E023EA">
        <w:rPr>
          <w:rFonts w:asciiTheme="minorHAnsi" w:hAnsiTheme="minorHAnsi" w:cstheme="minorHAnsi"/>
          <w:i/>
          <w:iCs/>
          <w:lang w:val="en-GB"/>
        </w:rPr>
        <w:t>nvironment, Social and Governance (E</w:t>
      </w:r>
      <w:r w:rsidRPr="00E023EA">
        <w:rPr>
          <w:rFonts w:asciiTheme="minorHAnsi" w:hAnsiTheme="minorHAnsi" w:cstheme="minorHAnsi"/>
          <w:i/>
          <w:iCs/>
          <w:lang w:val="en-GB"/>
        </w:rPr>
        <w:t>SG</w:t>
      </w:r>
      <w:r w:rsidR="001B5EE3" w:rsidRPr="00E023EA">
        <w:rPr>
          <w:rFonts w:asciiTheme="minorHAnsi" w:hAnsiTheme="minorHAnsi" w:cstheme="minorHAnsi"/>
          <w:i/>
          <w:iCs/>
          <w:lang w:val="en-GB"/>
        </w:rPr>
        <w:t xml:space="preserve">) </w:t>
      </w:r>
      <w:r w:rsidRPr="00E023EA">
        <w:rPr>
          <w:rFonts w:asciiTheme="minorHAnsi" w:hAnsiTheme="minorHAnsi" w:cstheme="minorHAnsi"/>
          <w:i/>
          <w:iCs/>
          <w:lang w:val="en-GB"/>
        </w:rPr>
        <w:t>-related goals and become more sustainable businesses.</w:t>
      </w:r>
      <w:r w:rsidR="009B268F" w:rsidRPr="00E023EA">
        <w:rPr>
          <w:rFonts w:asciiTheme="minorHAnsi" w:hAnsiTheme="minorHAnsi" w:cstheme="minorHAnsi"/>
          <w:i/>
          <w:iCs/>
          <w:lang w:val="en-GB"/>
        </w:rPr>
        <w:t xml:space="preserve"> </w:t>
      </w:r>
      <w:r w:rsidRPr="00E023EA">
        <w:rPr>
          <w:rFonts w:asciiTheme="minorHAnsi" w:hAnsiTheme="minorHAnsi" w:cstheme="minorHAnsi"/>
          <w:i/>
          <w:iCs/>
          <w:lang w:val="en-GB"/>
        </w:rPr>
        <w:t xml:space="preserve">Our new series of </w:t>
      </w:r>
      <w:r w:rsidR="0074258D" w:rsidRPr="00E023EA">
        <w:rPr>
          <w:rFonts w:asciiTheme="minorHAnsi" w:hAnsiTheme="minorHAnsi" w:cstheme="minorHAnsi"/>
          <w:i/>
          <w:iCs/>
          <w:lang w:val="en-GB"/>
        </w:rPr>
        <w:t>d</w:t>
      </w:r>
      <w:r w:rsidRPr="00E023EA">
        <w:rPr>
          <w:rFonts w:asciiTheme="minorHAnsi" w:hAnsiTheme="minorHAnsi" w:cstheme="minorHAnsi"/>
          <w:i/>
          <w:iCs/>
          <w:lang w:val="en-GB"/>
        </w:rPr>
        <w:t xml:space="preserve">eposit </w:t>
      </w:r>
      <w:r w:rsidR="0074258D" w:rsidRPr="00E023EA">
        <w:rPr>
          <w:rFonts w:asciiTheme="minorHAnsi" w:hAnsiTheme="minorHAnsi" w:cstheme="minorHAnsi"/>
          <w:i/>
          <w:iCs/>
          <w:lang w:val="en-GB"/>
        </w:rPr>
        <w:t>s</w:t>
      </w:r>
      <w:r w:rsidRPr="00E023EA">
        <w:rPr>
          <w:rFonts w:asciiTheme="minorHAnsi" w:hAnsiTheme="minorHAnsi" w:cstheme="minorHAnsi"/>
          <w:i/>
          <w:iCs/>
          <w:lang w:val="en-GB"/>
        </w:rPr>
        <w:t>olutions reflect Citi’s commitment to helping our clients advance ESG commitments in their treasuries through a range of sustainable financing- and ESG-linked investment services.”</w:t>
      </w:r>
    </w:p>
    <w:p w14:paraId="66FAFA40" w14:textId="77777777" w:rsidR="001D2C0A" w:rsidRPr="00E023EA" w:rsidRDefault="001D2C0A" w:rsidP="00662B52">
      <w:pPr>
        <w:autoSpaceDE w:val="0"/>
        <w:autoSpaceDN w:val="0"/>
        <w:adjustRightInd w:val="0"/>
        <w:spacing w:after="0" w:line="240" w:lineRule="auto"/>
        <w:rPr>
          <w:rFonts w:asciiTheme="minorHAnsi" w:hAnsiTheme="minorHAnsi" w:cstheme="minorHAnsi"/>
          <w:lang w:val="en-GB"/>
        </w:rPr>
      </w:pPr>
    </w:p>
    <w:p w14:paraId="40A17213" w14:textId="7E9AB1F7" w:rsidR="001D2C0A" w:rsidRPr="00E023EA" w:rsidRDefault="009F6613" w:rsidP="00662B52">
      <w:pPr>
        <w:autoSpaceDE w:val="0"/>
        <w:autoSpaceDN w:val="0"/>
        <w:adjustRightInd w:val="0"/>
        <w:spacing w:after="0" w:line="240" w:lineRule="auto"/>
        <w:rPr>
          <w:rFonts w:asciiTheme="minorHAnsi" w:hAnsiTheme="minorHAnsi" w:cstheme="minorHAnsi"/>
          <w:lang w:val="en-GB"/>
        </w:rPr>
      </w:pPr>
      <w:r w:rsidRPr="00E023EA">
        <w:rPr>
          <w:rFonts w:asciiTheme="minorHAnsi" w:hAnsiTheme="minorHAnsi" w:cstheme="minorHAnsi"/>
        </w:rPr>
        <w:t xml:space="preserve">Funds invested into the deposits </w:t>
      </w:r>
      <w:r w:rsidR="00662B52" w:rsidRPr="00E023EA">
        <w:rPr>
          <w:rFonts w:asciiTheme="minorHAnsi" w:hAnsiTheme="minorHAnsi" w:cstheme="minorHAnsi"/>
          <w:lang w:val="en-GB"/>
        </w:rPr>
        <w:t xml:space="preserve">are allocated to finance or refinance assets in a portfolio of </w:t>
      </w:r>
      <w:r w:rsidR="00067A97" w:rsidRPr="00E023EA">
        <w:rPr>
          <w:rFonts w:asciiTheme="minorHAnsi" w:hAnsiTheme="minorHAnsi" w:cstheme="minorHAnsi"/>
          <w:lang w:val="en-GB"/>
        </w:rPr>
        <w:t>eligible green</w:t>
      </w:r>
      <w:r w:rsidR="006325CD" w:rsidRPr="00E023EA">
        <w:rPr>
          <w:rFonts w:asciiTheme="minorHAnsi" w:hAnsiTheme="minorHAnsi" w:cstheme="minorHAnsi"/>
          <w:lang w:val="en-GB"/>
        </w:rPr>
        <w:t xml:space="preserve"> </w:t>
      </w:r>
      <w:r w:rsidR="00662B52" w:rsidRPr="00E023EA">
        <w:rPr>
          <w:rFonts w:asciiTheme="minorHAnsi" w:hAnsiTheme="minorHAnsi" w:cstheme="minorHAnsi"/>
          <w:lang w:val="en-GB"/>
        </w:rPr>
        <w:t>and/or social</w:t>
      </w:r>
      <w:r w:rsidR="006325CD" w:rsidRPr="00E023EA">
        <w:rPr>
          <w:rFonts w:asciiTheme="minorHAnsi" w:hAnsiTheme="minorHAnsi" w:cstheme="minorHAnsi"/>
          <w:lang w:val="en-GB"/>
        </w:rPr>
        <w:t xml:space="preserve"> </w:t>
      </w:r>
      <w:r w:rsidR="00DA6BCD" w:rsidRPr="00E023EA">
        <w:rPr>
          <w:rFonts w:asciiTheme="minorHAnsi" w:hAnsiTheme="minorHAnsi" w:cstheme="minorHAnsi"/>
          <w:lang w:val="en-GB"/>
        </w:rPr>
        <w:t xml:space="preserve">finance </w:t>
      </w:r>
      <w:r w:rsidR="00662B52" w:rsidRPr="00E023EA">
        <w:rPr>
          <w:rFonts w:asciiTheme="minorHAnsi" w:hAnsiTheme="minorHAnsi" w:cstheme="minorHAnsi"/>
          <w:lang w:val="en-GB"/>
        </w:rPr>
        <w:t xml:space="preserve">projects, based </w:t>
      </w:r>
      <w:r w:rsidR="00067A97" w:rsidRPr="00E023EA">
        <w:rPr>
          <w:rFonts w:asciiTheme="minorHAnsi" w:hAnsiTheme="minorHAnsi" w:cstheme="minorHAnsi"/>
          <w:lang w:val="en-GB"/>
        </w:rPr>
        <w:t>on criteria</w:t>
      </w:r>
      <w:r w:rsidR="00E023EA" w:rsidRPr="00E023EA">
        <w:rPr>
          <w:rFonts w:asciiTheme="minorHAnsi" w:hAnsiTheme="minorHAnsi" w:cstheme="minorHAnsi"/>
          <w:lang w:val="en-GB"/>
        </w:rPr>
        <w:t xml:space="preserve"> set</w:t>
      </w:r>
      <w:r w:rsidR="00067A97" w:rsidRPr="00E023EA">
        <w:rPr>
          <w:rFonts w:asciiTheme="minorHAnsi" w:hAnsiTheme="minorHAnsi" w:cstheme="minorHAnsi"/>
          <w:lang w:val="en-GB"/>
        </w:rPr>
        <w:t xml:space="preserve"> in</w:t>
      </w:r>
      <w:r w:rsidR="00662B52" w:rsidRPr="00E023EA">
        <w:rPr>
          <w:rFonts w:asciiTheme="minorHAnsi" w:hAnsiTheme="minorHAnsi" w:cstheme="minorHAnsi"/>
          <w:lang w:val="en-GB"/>
        </w:rPr>
        <w:t xml:space="preserve"> the Citi Green Bond Framework, Social Finance Framework and Social Bond for Affordable Housing Framework</w:t>
      </w:r>
      <w:r w:rsidR="00E023EA" w:rsidRPr="00E023EA">
        <w:rPr>
          <w:rFonts w:asciiTheme="minorHAnsi" w:hAnsiTheme="minorHAnsi" w:cstheme="minorHAnsi"/>
          <w:lang w:val="en-GB"/>
        </w:rPr>
        <w:t>.</w:t>
      </w:r>
      <w:r w:rsidR="00662B52" w:rsidRPr="00E023EA">
        <w:rPr>
          <w:rFonts w:asciiTheme="minorHAnsi" w:hAnsiTheme="minorHAnsi" w:cstheme="minorHAnsi"/>
          <w:lang w:val="en-GB"/>
        </w:rPr>
        <w:t xml:space="preserve"> </w:t>
      </w:r>
    </w:p>
    <w:p w14:paraId="2AA1D87B" w14:textId="1DFABF8D" w:rsidR="00DA6BCD" w:rsidRPr="00E023EA" w:rsidRDefault="00DA6BCD" w:rsidP="00662B52">
      <w:pPr>
        <w:autoSpaceDE w:val="0"/>
        <w:autoSpaceDN w:val="0"/>
        <w:adjustRightInd w:val="0"/>
        <w:spacing w:after="0" w:line="240" w:lineRule="auto"/>
        <w:rPr>
          <w:rFonts w:asciiTheme="minorHAnsi" w:hAnsiTheme="minorHAnsi" w:cstheme="minorHAnsi"/>
          <w:lang w:val="en-GB"/>
        </w:rPr>
      </w:pPr>
    </w:p>
    <w:p w14:paraId="057AC1F9" w14:textId="59A8645A" w:rsidR="008B248C" w:rsidRDefault="00890C5C" w:rsidP="00A3157F">
      <w:pPr>
        <w:spacing w:after="0" w:line="240" w:lineRule="auto"/>
        <w:rPr>
          <w:lang w:val="en-GB"/>
        </w:rPr>
      </w:pPr>
      <w:r>
        <w:rPr>
          <w:lang w:val="en-GB"/>
        </w:rPr>
        <w:t>T</w:t>
      </w:r>
      <w:r w:rsidR="008B248C">
        <w:rPr>
          <w:lang w:val="en-GB"/>
        </w:rPr>
        <w:t>ypes of projects being financed include:</w:t>
      </w:r>
    </w:p>
    <w:p w14:paraId="56DD7DEA" w14:textId="2C1EBBD8" w:rsidR="008B248C" w:rsidRDefault="00E9374F" w:rsidP="00055A36">
      <w:pPr>
        <w:pStyle w:val="ListParagraph"/>
        <w:numPr>
          <w:ilvl w:val="0"/>
          <w:numId w:val="6"/>
        </w:numPr>
        <w:spacing w:after="0" w:line="240" w:lineRule="auto"/>
      </w:pPr>
      <w:r w:rsidRPr="00E9374F">
        <w:t xml:space="preserve">Green projects </w:t>
      </w:r>
      <w:r w:rsidR="008B248C" w:rsidRPr="00E9374F">
        <w:t>includ</w:t>
      </w:r>
      <w:r w:rsidR="008B248C">
        <w:t>ing</w:t>
      </w:r>
      <w:r w:rsidR="008B248C" w:rsidRPr="00E9374F">
        <w:t xml:space="preserve"> </w:t>
      </w:r>
      <w:r w:rsidRPr="00E9374F">
        <w:t xml:space="preserve">renewable energy, energy efficiency, sustainable transportation, green building, and water quality and conservation. </w:t>
      </w:r>
    </w:p>
    <w:p w14:paraId="27DED1BD" w14:textId="64BCFDC8" w:rsidR="008B248C" w:rsidRDefault="00E9374F" w:rsidP="00055A36">
      <w:pPr>
        <w:pStyle w:val="ListParagraph"/>
        <w:numPr>
          <w:ilvl w:val="0"/>
          <w:numId w:val="6"/>
        </w:numPr>
        <w:spacing w:after="0" w:line="240" w:lineRule="auto"/>
      </w:pPr>
      <w:r w:rsidRPr="00E9374F">
        <w:t xml:space="preserve">Social projects </w:t>
      </w:r>
      <w:r w:rsidR="008B248C">
        <w:t>that expand access</w:t>
      </w:r>
      <w:r w:rsidRPr="00E9374F">
        <w:t xml:space="preserve"> for low-income communities and women in emerging markets </w:t>
      </w:r>
      <w:r w:rsidR="00890C5C">
        <w:t>including</w:t>
      </w:r>
      <w:r w:rsidR="008B248C" w:rsidRPr="00E9374F">
        <w:t xml:space="preserve"> </w:t>
      </w:r>
      <w:r w:rsidRPr="00E9374F">
        <w:t xml:space="preserve">affordable basic infrastructure for water/sanitation and digital connectivity, as well as essential services such as healthcare, education, affordable housing, and financing for entrepreneurs and smallholder farmers. </w:t>
      </w:r>
    </w:p>
    <w:p w14:paraId="6D74722D" w14:textId="3635C8C7" w:rsidR="00E9374F" w:rsidRPr="008B248C" w:rsidRDefault="00E9374F" w:rsidP="00055A36">
      <w:pPr>
        <w:pStyle w:val="ListParagraph"/>
        <w:numPr>
          <w:ilvl w:val="0"/>
          <w:numId w:val="6"/>
        </w:numPr>
        <w:spacing w:after="0" w:line="240" w:lineRule="auto"/>
        <w:rPr>
          <w:rFonts w:eastAsia="Times New Roman"/>
          <w:lang w:eastAsia="en-GB"/>
        </w:rPr>
      </w:pPr>
      <w:r w:rsidRPr="00E9374F">
        <w:t xml:space="preserve">Affordable Housing </w:t>
      </w:r>
      <w:r w:rsidR="00055A36" w:rsidRPr="00E9374F">
        <w:t xml:space="preserve">projects </w:t>
      </w:r>
      <w:r w:rsidR="00055A36">
        <w:t>in</w:t>
      </w:r>
      <w:r w:rsidRPr="00E9374F">
        <w:t xml:space="preserve"> the U.S. includ</w:t>
      </w:r>
      <w:r w:rsidR="00890C5C">
        <w:t>ing</w:t>
      </w:r>
      <w:r w:rsidRPr="00E9374F">
        <w:t xml:space="preserve"> the construction, rehabilitation, and/or preservation for </w:t>
      </w:r>
      <w:proofErr w:type="gramStart"/>
      <w:r w:rsidRPr="00E9374F">
        <w:t>low and moderate income</w:t>
      </w:r>
      <w:proofErr w:type="gramEnd"/>
      <w:r w:rsidRPr="00E9374F">
        <w:t xml:space="preserve"> populations</w:t>
      </w:r>
    </w:p>
    <w:p w14:paraId="53702B34" w14:textId="2686C9C7" w:rsidR="00D01DBB" w:rsidRPr="00E023EA" w:rsidRDefault="00D01DBB" w:rsidP="00D757F3">
      <w:pPr>
        <w:spacing w:after="0" w:line="240" w:lineRule="auto"/>
        <w:rPr>
          <w:rFonts w:eastAsia="Times New Roman"/>
          <w:lang w:eastAsia="en-GB"/>
        </w:rPr>
      </w:pPr>
    </w:p>
    <w:p w14:paraId="04E67E79" w14:textId="7D5009E9" w:rsidR="00296A84" w:rsidRPr="00E023EA" w:rsidRDefault="00296A84" w:rsidP="00296A84">
      <w:pPr>
        <w:autoSpaceDE w:val="0"/>
        <w:autoSpaceDN w:val="0"/>
        <w:adjustRightInd w:val="0"/>
        <w:spacing w:after="0" w:line="240" w:lineRule="auto"/>
        <w:rPr>
          <w:rFonts w:asciiTheme="minorHAnsi" w:hAnsiTheme="minorHAnsi" w:cstheme="minorHAnsi"/>
          <w:lang w:val="en-GB"/>
        </w:rPr>
      </w:pPr>
      <w:r w:rsidRPr="00E023EA">
        <w:rPr>
          <w:rFonts w:asciiTheme="minorHAnsi" w:hAnsiTheme="minorHAnsi" w:cstheme="minorHAnsi"/>
          <w:lang w:val="en-GB"/>
        </w:rPr>
        <w:t xml:space="preserve">David Tsui, EMEA Head of Deposits and Investments Products, Treasury and Trade Solutions, Citi, </w:t>
      </w:r>
      <w:r w:rsidR="00750294" w:rsidRPr="00E023EA">
        <w:rPr>
          <w:rFonts w:asciiTheme="minorHAnsi" w:hAnsiTheme="minorHAnsi" w:cstheme="minorHAnsi"/>
          <w:lang w:val="en-GB"/>
        </w:rPr>
        <w:t xml:space="preserve">added </w:t>
      </w:r>
      <w:r w:rsidRPr="00E023EA">
        <w:rPr>
          <w:rFonts w:asciiTheme="minorHAnsi" w:hAnsiTheme="minorHAnsi" w:cstheme="minorHAnsi"/>
          <w:i/>
          <w:iCs/>
          <w:lang w:val="en-GB"/>
        </w:rPr>
        <w:t xml:space="preserve">“The expansion of our </w:t>
      </w:r>
      <w:r w:rsidR="00750294" w:rsidRPr="00E023EA">
        <w:rPr>
          <w:rFonts w:asciiTheme="minorHAnsi" w:hAnsiTheme="minorHAnsi" w:cstheme="minorHAnsi"/>
          <w:i/>
          <w:iCs/>
          <w:lang w:val="en-GB"/>
        </w:rPr>
        <w:t xml:space="preserve">sustainable </w:t>
      </w:r>
      <w:r w:rsidRPr="00E023EA">
        <w:rPr>
          <w:rFonts w:asciiTheme="minorHAnsi" w:hAnsiTheme="minorHAnsi" w:cstheme="minorHAnsi"/>
          <w:i/>
          <w:iCs/>
          <w:lang w:val="en-GB"/>
        </w:rPr>
        <w:t xml:space="preserve">product suite is </w:t>
      </w:r>
      <w:r w:rsidR="00750294" w:rsidRPr="00E023EA">
        <w:rPr>
          <w:rFonts w:asciiTheme="minorHAnsi" w:hAnsiTheme="minorHAnsi" w:cstheme="minorHAnsi"/>
          <w:i/>
          <w:iCs/>
          <w:lang w:val="en-GB"/>
        </w:rPr>
        <w:t xml:space="preserve">one </w:t>
      </w:r>
      <w:r w:rsidRPr="00E023EA">
        <w:rPr>
          <w:rFonts w:asciiTheme="minorHAnsi" w:hAnsiTheme="minorHAnsi" w:cstheme="minorHAnsi"/>
          <w:i/>
          <w:iCs/>
          <w:lang w:val="en-GB"/>
        </w:rPr>
        <w:t xml:space="preserve">of </w:t>
      </w:r>
      <w:r w:rsidR="00750294" w:rsidRPr="00E023EA">
        <w:rPr>
          <w:rFonts w:asciiTheme="minorHAnsi" w:hAnsiTheme="minorHAnsi" w:cstheme="minorHAnsi"/>
          <w:i/>
          <w:iCs/>
          <w:lang w:val="en-GB"/>
        </w:rPr>
        <w:t xml:space="preserve">the </w:t>
      </w:r>
      <w:r w:rsidRPr="00E023EA">
        <w:rPr>
          <w:rFonts w:asciiTheme="minorHAnsi" w:hAnsiTheme="minorHAnsi" w:cstheme="minorHAnsi"/>
          <w:i/>
          <w:iCs/>
          <w:lang w:val="en-GB"/>
        </w:rPr>
        <w:t xml:space="preserve">steps we are taking to provide more comprehensive sustainable cash </w:t>
      </w:r>
      <w:r w:rsidR="00750294" w:rsidRPr="00E023EA">
        <w:rPr>
          <w:rFonts w:asciiTheme="minorHAnsi" w:hAnsiTheme="minorHAnsi" w:cstheme="minorHAnsi"/>
          <w:i/>
          <w:iCs/>
          <w:lang w:val="en-GB"/>
        </w:rPr>
        <w:t xml:space="preserve">management </w:t>
      </w:r>
      <w:r w:rsidRPr="00E023EA">
        <w:rPr>
          <w:rFonts w:asciiTheme="minorHAnsi" w:hAnsiTheme="minorHAnsi" w:cstheme="minorHAnsi"/>
          <w:i/>
          <w:iCs/>
          <w:lang w:val="en-GB"/>
        </w:rPr>
        <w:t xml:space="preserve">solutions to clients.  We are delighted to be partnering with treasurers to </w:t>
      </w:r>
      <w:r w:rsidR="00B71917" w:rsidRPr="00E023EA">
        <w:rPr>
          <w:rFonts w:asciiTheme="minorHAnsi" w:hAnsiTheme="minorHAnsi" w:cstheme="minorHAnsi"/>
          <w:i/>
          <w:iCs/>
          <w:lang w:val="en-GB"/>
        </w:rPr>
        <w:t xml:space="preserve">explore </w:t>
      </w:r>
      <w:r w:rsidRPr="00E023EA">
        <w:rPr>
          <w:rFonts w:asciiTheme="minorHAnsi" w:hAnsiTheme="minorHAnsi" w:cstheme="minorHAnsi"/>
          <w:i/>
          <w:iCs/>
          <w:lang w:val="en-GB"/>
        </w:rPr>
        <w:t xml:space="preserve">new and innovative ways to </w:t>
      </w:r>
      <w:r w:rsidR="00750294" w:rsidRPr="00E023EA">
        <w:rPr>
          <w:rFonts w:asciiTheme="minorHAnsi" w:hAnsiTheme="minorHAnsi" w:cstheme="minorHAnsi"/>
          <w:i/>
          <w:iCs/>
          <w:lang w:val="en-GB"/>
        </w:rPr>
        <w:t xml:space="preserve">support </w:t>
      </w:r>
      <w:r w:rsidR="009B268F" w:rsidRPr="00E023EA">
        <w:rPr>
          <w:rFonts w:asciiTheme="minorHAnsi" w:hAnsiTheme="minorHAnsi" w:cstheme="minorHAnsi"/>
          <w:i/>
          <w:iCs/>
          <w:lang w:val="en-GB"/>
        </w:rPr>
        <w:t xml:space="preserve">their </w:t>
      </w:r>
      <w:r w:rsidRPr="00E023EA">
        <w:rPr>
          <w:rFonts w:asciiTheme="minorHAnsi" w:hAnsiTheme="minorHAnsi" w:cstheme="minorHAnsi"/>
          <w:i/>
          <w:iCs/>
          <w:lang w:val="en-GB"/>
        </w:rPr>
        <w:t xml:space="preserve">sustainability </w:t>
      </w:r>
      <w:r w:rsidR="00750294" w:rsidRPr="00E023EA">
        <w:rPr>
          <w:rFonts w:asciiTheme="minorHAnsi" w:hAnsiTheme="minorHAnsi" w:cstheme="minorHAnsi"/>
          <w:i/>
          <w:iCs/>
          <w:lang w:val="en-GB"/>
        </w:rPr>
        <w:t>objectives</w:t>
      </w:r>
      <w:r w:rsidRPr="00E023EA">
        <w:rPr>
          <w:rFonts w:asciiTheme="minorHAnsi" w:hAnsiTheme="minorHAnsi" w:cstheme="minorHAnsi"/>
          <w:i/>
          <w:iCs/>
          <w:lang w:val="en-GB"/>
        </w:rPr>
        <w:t xml:space="preserve">.” </w:t>
      </w:r>
    </w:p>
    <w:p w14:paraId="1BF79A48" w14:textId="77777777" w:rsidR="00296A84" w:rsidRPr="00E023EA" w:rsidRDefault="00296A84" w:rsidP="00D757F3">
      <w:pPr>
        <w:spacing w:after="0" w:line="240" w:lineRule="auto"/>
        <w:rPr>
          <w:rFonts w:eastAsia="Times New Roman"/>
          <w:lang w:val="en-GB" w:eastAsia="en-GB"/>
        </w:rPr>
      </w:pPr>
    </w:p>
    <w:p w14:paraId="11B9A52F" w14:textId="3CC175A7" w:rsidR="009F6613" w:rsidRPr="00E023EA" w:rsidRDefault="009F6613" w:rsidP="009F6613">
      <w:pPr>
        <w:autoSpaceDE w:val="0"/>
        <w:autoSpaceDN w:val="0"/>
        <w:adjustRightInd w:val="0"/>
        <w:spacing w:after="0" w:line="240" w:lineRule="auto"/>
        <w:rPr>
          <w:rFonts w:asciiTheme="minorHAnsi" w:hAnsiTheme="minorHAnsi" w:cstheme="minorHAnsi"/>
          <w:lang w:val="en-GB"/>
        </w:rPr>
      </w:pPr>
      <w:r w:rsidRPr="00E023EA">
        <w:rPr>
          <w:rFonts w:asciiTheme="minorHAnsi" w:hAnsiTheme="minorHAnsi" w:cstheme="minorHAnsi"/>
          <w:lang w:val="en-GB"/>
        </w:rPr>
        <w:t xml:space="preserve">Both deposits are now available in the U.K., </w:t>
      </w:r>
      <w:r w:rsidR="00E023EA" w:rsidRPr="00E023EA">
        <w:rPr>
          <w:rFonts w:asciiTheme="minorHAnsi" w:hAnsiTheme="minorHAnsi" w:cstheme="minorHAnsi"/>
          <w:lang w:val="en-GB"/>
        </w:rPr>
        <w:t>Ireland,</w:t>
      </w:r>
      <w:r w:rsidRPr="00E023EA">
        <w:rPr>
          <w:rFonts w:asciiTheme="minorHAnsi" w:hAnsiTheme="minorHAnsi" w:cstheme="minorHAnsi"/>
          <w:lang w:val="en-GB"/>
        </w:rPr>
        <w:t xml:space="preserve"> and Abu Dhabi. </w:t>
      </w:r>
    </w:p>
    <w:p w14:paraId="1A02B506" w14:textId="73571FAE" w:rsidR="009F6613" w:rsidRPr="00E023EA" w:rsidRDefault="009F6613" w:rsidP="009F6613">
      <w:pPr>
        <w:autoSpaceDE w:val="0"/>
        <w:autoSpaceDN w:val="0"/>
        <w:adjustRightInd w:val="0"/>
        <w:spacing w:after="0" w:line="240" w:lineRule="auto"/>
        <w:rPr>
          <w:rFonts w:asciiTheme="minorHAnsi" w:hAnsiTheme="minorHAnsi" w:cstheme="minorHAnsi"/>
          <w:lang w:val="en-GB"/>
        </w:rPr>
      </w:pPr>
    </w:p>
    <w:p w14:paraId="74E75C73" w14:textId="64CB652D" w:rsidR="009F6613" w:rsidRPr="00E023EA" w:rsidRDefault="009F6613" w:rsidP="009F6613">
      <w:pPr>
        <w:autoSpaceDE w:val="0"/>
        <w:autoSpaceDN w:val="0"/>
        <w:adjustRightInd w:val="0"/>
        <w:spacing w:after="0" w:line="240" w:lineRule="auto"/>
        <w:rPr>
          <w:rFonts w:asciiTheme="minorHAnsi" w:hAnsiTheme="minorHAnsi" w:cstheme="minorHAnsi"/>
          <w:lang w:val="en-GB"/>
        </w:rPr>
      </w:pPr>
      <w:r w:rsidRPr="00E023EA">
        <w:rPr>
          <w:rFonts w:asciiTheme="minorHAnsi" w:hAnsiTheme="minorHAnsi" w:cstheme="minorHAnsi"/>
          <w:lang w:val="en-GB"/>
        </w:rPr>
        <w:t>Citi’s Frameworks are aligned with the recommendation of the International Capital Market Association’s Green Bond Principle</w:t>
      </w:r>
      <w:r w:rsidR="00067A97" w:rsidRPr="00E023EA">
        <w:rPr>
          <w:rFonts w:asciiTheme="minorHAnsi" w:hAnsiTheme="minorHAnsi" w:cstheme="minorHAnsi"/>
          <w:lang w:val="en-GB"/>
        </w:rPr>
        <w:t>s</w:t>
      </w:r>
      <w:r w:rsidRPr="00E023EA">
        <w:rPr>
          <w:rFonts w:asciiTheme="minorHAnsi" w:hAnsiTheme="minorHAnsi" w:cstheme="minorHAnsi"/>
          <w:lang w:val="en-GB"/>
        </w:rPr>
        <w:t xml:space="preserve"> and Social Bond Principles and have been </w:t>
      </w:r>
      <w:r w:rsidR="00465581" w:rsidRPr="00E023EA">
        <w:rPr>
          <w:rFonts w:asciiTheme="minorHAnsi" w:hAnsiTheme="minorHAnsi" w:cstheme="minorHAnsi"/>
          <w:lang w:val="en-GB"/>
        </w:rPr>
        <w:t xml:space="preserve">assessed </w:t>
      </w:r>
      <w:r w:rsidRPr="00E023EA">
        <w:rPr>
          <w:rFonts w:asciiTheme="minorHAnsi" w:hAnsiTheme="minorHAnsi" w:cstheme="minorHAnsi"/>
          <w:lang w:val="en-GB"/>
        </w:rPr>
        <w:t>by</w:t>
      </w:r>
      <w:r w:rsidR="00465581" w:rsidRPr="00E023EA">
        <w:rPr>
          <w:rFonts w:asciiTheme="minorHAnsi" w:hAnsiTheme="minorHAnsi" w:cstheme="minorHAnsi"/>
          <w:lang w:val="en-GB"/>
        </w:rPr>
        <w:t xml:space="preserve"> a</w:t>
      </w:r>
      <w:r w:rsidRPr="00E023EA">
        <w:rPr>
          <w:rFonts w:asciiTheme="minorHAnsi" w:hAnsiTheme="minorHAnsi" w:cstheme="minorHAnsi"/>
          <w:lang w:val="en-GB"/>
        </w:rPr>
        <w:t xml:space="preserve"> leading independent ESG and </w:t>
      </w:r>
      <w:r w:rsidR="00465581" w:rsidRPr="00E023EA">
        <w:rPr>
          <w:rFonts w:asciiTheme="minorHAnsi" w:hAnsiTheme="minorHAnsi" w:cstheme="minorHAnsi"/>
          <w:lang w:val="en-GB"/>
        </w:rPr>
        <w:t>corporate governance research</w:t>
      </w:r>
      <w:r w:rsidRPr="00E023EA">
        <w:rPr>
          <w:rFonts w:asciiTheme="minorHAnsi" w:hAnsiTheme="minorHAnsi" w:cstheme="minorHAnsi"/>
          <w:lang w:val="en-GB"/>
        </w:rPr>
        <w:t xml:space="preserve">, </w:t>
      </w:r>
      <w:r w:rsidR="00E023EA" w:rsidRPr="00E023EA">
        <w:rPr>
          <w:rFonts w:asciiTheme="minorHAnsi" w:hAnsiTheme="minorHAnsi" w:cstheme="minorHAnsi"/>
          <w:lang w:val="en-GB"/>
        </w:rPr>
        <w:t>ratings,</w:t>
      </w:r>
      <w:r w:rsidRPr="00E023EA">
        <w:rPr>
          <w:rFonts w:asciiTheme="minorHAnsi" w:hAnsiTheme="minorHAnsi" w:cstheme="minorHAnsi"/>
          <w:lang w:val="en-GB"/>
        </w:rPr>
        <w:t xml:space="preserve"> and </w:t>
      </w:r>
      <w:r w:rsidR="00465581" w:rsidRPr="00E023EA">
        <w:rPr>
          <w:rFonts w:asciiTheme="minorHAnsi" w:hAnsiTheme="minorHAnsi" w:cstheme="minorHAnsi"/>
          <w:lang w:val="en-GB"/>
        </w:rPr>
        <w:t xml:space="preserve">analytics </w:t>
      </w:r>
      <w:r w:rsidRPr="00E023EA">
        <w:rPr>
          <w:rFonts w:asciiTheme="minorHAnsi" w:hAnsiTheme="minorHAnsi" w:cstheme="minorHAnsi"/>
          <w:lang w:val="en-GB"/>
        </w:rPr>
        <w:t xml:space="preserve">firm. </w:t>
      </w:r>
    </w:p>
    <w:p w14:paraId="2D90061F" w14:textId="521A7AA9" w:rsidR="00E023EA" w:rsidRPr="00E023EA" w:rsidRDefault="00E023EA" w:rsidP="009F6613">
      <w:pPr>
        <w:autoSpaceDE w:val="0"/>
        <w:autoSpaceDN w:val="0"/>
        <w:adjustRightInd w:val="0"/>
        <w:spacing w:after="0" w:line="240" w:lineRule="auto"/>
        <w:rPr>
          <w:rFonts w:asciiTheme="minorHAnsi" w:hAnsiTheme="minorHAnsi" w:cstheme="minorHAnsi"/>
          <w:lang w:val="en-GB"/>
        </w:rPr>
      </w:pPr>
    </w:p>
    <w:p w14:paraId="5CE09855" w14:textId="0FAA3FC7" w:rsidR="00E023EA" w:rsidRPr="00E023EA" w:rsidRDefault="00E023EA" w:rsidP="009F6613">
      <w:pPr>
        <w:autoSpaceDE w:val="0"/>
        <w:autoSpaceDN w:val="0"/>
        <w:adjustRightInd w:val="0"/>
        <w:spacing w:after="0" w:line="240" w:lineRule="auto"/>
        <w:rPr>
          <w:rFonts w:asciiTheme="minorHAnsi" w:hAnsiTheme="minorHAnsi" w:cstheme="minorHAnsi"/>
          <w:lang w:val="en-GB"/>
        </w:rPr>
      </w:pPr>
      <w:r w:rsidRPr="00E023EA">
        <w:rPr>
          <w:rFonts w:asciiTheme="minorHAnsi" w:hAnsiTheme="minorHAnsi" w:cstheme="minorHAnsi"/>
          <w:lang w:val="en-GB"/>
        </w:rPr>
        <w:t>A</w:t>
      </w:r>
      <w:r w:rsidRPr="00E023EA">
        <w:t>s cash deposit transactions, TD or MMTD are not securities and the return of the TDs and MMTDs are not linked to the return of the underlying assets.</w:t>
      </w:r>
    </w:p>
    <w:p w14:paraId="57C7B988" w14:textId="77777777" w:rsidR="00015633" w:rsidRPr="00015633" w:rsidRDefault="00015633" w:rsidP="00015633">
      <w:pPr>
        <w:autoSpaceDE w:val="0"/>
        <w:autoSpaceDN w:val="0"/>
        <w:adjustRightInd w:val="0"/>
        <w:spacing w:after="0" w:line="240" w:lineRule="auto"/>
        <w:rPr>
          <w:rFonts w:asciiTheme="minorHAnsi" w:hAnsiTheme="minorHAnsi" w:cstheme="minorHAnsi"/>
          <w:lang w:val="en-GB"/>
        </w:rPr>
      </w:pPr>
    </w:p>
    <w:p w14:paraId="6ACFE6CA" w14:textId="42498E1E" w:rsidR="00461950" w:rsidRDefault="00A444D3" w:rsidP="00D757F3">
      <w:pPr>
        <w:jc w:val="center"/>
        <w:rPr>
          <w:rStyle w:val="Strong"/>
          <w:rFonts w:asciiTheme="minorHAnsi" w:hAnsiTheme="minorHAnsi" w:cstheme="minorHAnsi"/>
          <w:b w:val="0"/>
          <w:lang w:val="en"/>
        </w:rPr>
      </w:pPr>
      <w:r>
        <w:rPr>
          <w:rStyle w:val="Strong"/>
          <w:rFonts w:asciiTheme="minorHAnsi" w:hAnsiTheme="minorHAnsi" w:cstheme="minorHAnsi"/>
          <w:b w:val="0"/>
          <w:lang w:val="en"/>
        </w:rPr>
        <w:t>-</w:t>
      </w:r>
      <w:r w:rsidR="005870BC">
        <w:rPr>
          <w:rStyle w:val="Strong"/>
          <w:rFonts w:asciiTheme="minorHAnsi" w:hAnsiTheme="minorHAnsi" w:cstheme="minorHAnsi"/>
          <w:b w:val="0"/>
          <w:lang w:val="en"/>
        </w:rPr>
        <w:t>ENDS</w:t>
      </w:r>
      <w:r>
        <w:rPr>
          <w:rStyle w:val="Strong"/>
          <w:rFonts w:asciiTheme="minorHAnsi" w:hAnsiTheme="minorHAnsi" w:cstheme="minorHAnsi"/>
          <w:b w:val="0"/>
          <w:lang w:val="en"/>
        </w:rPr>
        <w:t>-</w:t>
      </w:r>
    </w:p>
    <w:p w14:paraId="5C719C94" w14:textId="2EC2E0D9" w:rsidR="00945BA1" w:rsidRPr="00E023EA" w:rsidRDefault="00945BA1" w:rsidP="00945BA1">
      <w:pPr>
        <w:pStyle w:val="Default"/>
        <w:rPr>
          <w:color w:val="auto"/>
          <w:sz w:val="20"/>
          <w:szCs w:val="20"/>
        </w:rPr>
      </w:pPr>
      <w:r w:rsidRPr="00E023EA">
        <w:rPr>
          <w:b/>
          <w:bCs/>
          <w:color w:val="auto"/>
          <w:sz w:val="20"/>
          <w:szCs w:val="20"/>
        </w:rPr>
        <w:lastRenderedPageBreak/>
        <w:t xml:space="preserve">About Citi’s Treasury and Trade Solutions </w:t>
      </w:r>
    </w:p>
    <w:p w14:paraId="0D90B2DC" w14:textId="77777777" w:rsidR="00945BA1" w:rsidRPr="00E023EA" w:rsidRDefault="00945BA1" w:rsidP="000972D3">
      <w:pPr>
        <w:pStyle w:val="Default"/>
        <w:jc w:val="both"/>
        <w:rPr>
          <w:color w:val="auto"/>
          <w:sz w:val="20"/>
          <w:szCs w:val="20"/>
        </w:rPr>
      </w:pPr>
      <w:r w:rsidRPr="00E023EA">
        <w:rPr>
          <w:color w:val="auto"/>
          <w:sz w:val="20"/>
          <w:szCs w:val="20"/>
        </w:rPr>
        <w:t xml:space="preserve">Citi Treasury and Trade Solutions (TTS) enables our clients' success by providing an integrated suite of innovative and tailored cash management and trade finance services to multinational corporations, financial </w:t>
      </w:r>
      <w:proofErr w:type="gramStart"/>
      <w:r w:rsidRPr="00E023EA">
        <w:rPr>
          <w:color w:val="auto"/>
          <w:sz w:val="20"/>
          <w:szCs w:val="20"/>
        </w:rPr>
        <w:t>institutions</w:t>
      </w:r>
      <w:proofErr w:type="gramEnd"/>
      <w:r w:rsidRPr="00E023EA">
        <w:rPr>
          <w:color w:val="auto"/>
          <w:sz w:val="20"/>
          <w:szCs w:val="20"/>
        </w:rPr>
        <w:t xml:space="preserve"> and public sector organizations across the globe. Based on the foundation of the industry's largest proprietary network with banking licenses in over 90 countries and globally integrated technology platforms, TTS continues to lead the way in offering the industry's most comprehensive range of digitally enabled treasury, </w:t>
      </w:r>
      <w:proofErr w:type="gramStart"/>
      <w:r w:rsidRPr="00E023EA">
        <w:rPr>
          <w:color w:val="auto"/>
          <w:sz w:val="20"/>
          <w:szCs w:val="20"/>
        </w:rPr>
        <w:t>trade</w:t>
      </w:r>
      <w:proofErr w:type="gramEnd"/>
      <w:r w:rsidRPr="00E023EA">
        <w:rPr>
          <w:color w:val="auto"/>
          <w:sz w:val="20"/>
          <w:szCs w:val="20"/>
        </w:rPr>
        <w:t xml:space="preserve"> and liquidity management solutions. </w:t>
      </w:r>
    </w:p>
    <w:p w14:paraId="032A5447" w14:textId="77777777" w:rsidR="00945BA1" w:rsidRPr="00E023EA" w:rsidRDefault="00945BA1" w:rsidP="00945BA1">
      <w:pPr>
        <w:pStyle w:val="Default"/>
        <w:rPr>
          <w:color w:val="auto"/>
          <w:sz w:val="20"/>
          <w:szCs w:val="20"/>
        </w:rPr>
      </w:pPr>
    </w:p>
    <w:p w14:paraId="09EFDDAC" w14:textId="77777777" w:rsidR="00945BA1" w:rsidRPr="00E023EA" w:rsidRDefault="00945BA1" w:rsidP="00945BA1">
      <w:pPr>
        <w:pStyle w:val="Default"/>
        <w:rPr>
          <w:color w:val="auto"/>
          <w:sz w:val="20"/>
          <w:szCs w:val="20"/>
        </w:rPr>
      </w:pPr>
      <w:r w:rsidRPr="00E023EA">
        <w:rPr>
          <w:b/>
          <w:bCs/>
          <w:color w:val="auto"/>
          <w:sz w:val="20"/>
          <w:szCs w:val="20"/>
        </w:rPr>
        <w:t xml:space="preserve">About Citi </w:t>
      </w:r>
    </w:p>
    <w:p w14:paraId="5217B39A" w14:textId="78543F40" w:rsidR="00945BA1" w:rsidRPr="00E023EA" w:rsidRDefault="00945BA1" w:rsidP="000972D3">
      <w:pPr>
        <w:pStyle w:val="Default"/>
        <w:jc w:val="both"/>
        <w:rPr>
          <w:color w:val="auto"/>
          <w:sz w:val="20"/>
          <w:szCs w:val="20"/>
        </w:rPr>
      </w:pPr>
      <w:r w:rsidRPr="00E023EA">
        <w:rPr>
          <w:color w:val="auto"/>
          <w:sz w:val="20"/>
          <w:szCs w:val="20"/>
        </w:rPr>
        <w:t xml:space="preserve">Citi, the leading global bank, has approximately 200 million customer accounts and does business in more than 160 countries and jurisdictions. Citi provides consumers, corporations, </w:t>
      </w:r>
      <w:proofErr w:type="gramStart"/>
      <w:r w:rsidRPr="00E023EA">
        <w:rPr>
          <w:color w:val="auto"/>
          <w:sz w:val="20"/>
          <w:szCs w:val="20"/>
        </w:rPr>
        <w:t>governments</w:t>
      </w:r>
      <w:proofErr w:type="gramEnd"/>
      <w:r w:rsidRPr="00E023EA">
        <w:rPr>
          <w:color w:val="auto"/>
          <w:sz w:val="20"/>
          <w:szCs w:val="20"/>
        </w:rPr>
        <w:t xml:space="preserve"> and institutions with a broad range of financial products and services, including consumer banking and credit, corporate and investment banking, securities brokerage, transaction services, and wealth management. </w:t>
      </w:r>
    </w:p>
    <w:p w14:paraId="530B69E4" w14:textId="77EA428A" w:rsidR="00E242DD" w:rsidRPr="00E023EA" w:rsidRDefault="00E242DD" w:rsidP="000972D3">
      <w:pPr>
        <w:pStyle w:val="Default"/>
        <w:jc w:val="both"/>
        <w:rPr>
          <w:color w:val="auto"/>
          <w:sz w:val="20"/>
          <w:szCs w:val="20"/>
        </w:rPr>
      </w:pPr>
    </w:p>
    <w:p w14:paraId="454B2276" w14:textId="70593713" w:rsidR="00E242DD" w:rsidRPr="00E023EA" w:rsidRDefault="00E242DD" w:rsidP="00E242DD">
      <w:pPr>
        <w:pStyle w:val="Default"/>
        <w:rPr>
          <w:color w:val="auto"/>
          <w:sz w:val="20"/>
          <w:szCs w:val="20"/>
        </w:rPr>
      </w:pPr>
      <w:r w:rsidRPr="00E023EA">
        <w:rPr>
          <w:b/>
          <w:bCs/>
          <w:color w:val="auto"/>
          <w:sz w:val="20"/>
          <w:szCs w:val="20"/>
        </w:rPr>
        <w:t>Remarks</w:t>
      </w:r>
    </w:p>
    <w:p w14:paraId="6E75EB8C" w14:textId="1C15B670" w:rsidR="00E242DD" w:rsidRPr="00E023EA" w:rsidRDefault="00E242DD" w:rsidP="00E242DD">
      <w:pPr>
        <w:pStyle w:val="Default"/>
        <w:jc w:val="both"/>
        <w:rPr>
          <w:color w:val="auto"/>
          <w:sz w:val="20"/>
          <w:szCs w:val="20"/>
        </w:rPr>
      </w:pPr>
      <w:r w:rsidRPr="00E023EA">
        <w:rPr>
          <w:color w:val="auto"/>
          <w:sz w:val="20"/>
          <w:szCs w:val="20"/>
        </w:rPr>
        <w:t xml:space="preserve">There is currently no market consensus when assessing </w:t>
      </w:r>
      <w:proofErr w:type="gramStart"/>
      <w:r w:rsidRPr="00E023EA">
        <w:rPr>
          <w:color w:val="auto"/>
          <w:sz w:val="20"/>
          <w:szCs w:val="20"/>
        </w:rPr>
        <w:t>whether or not</w:t>
      </w:r>
      <w:proofErr w:type="gramEnd"/>
      <w:r w:rsidRPr="00E023EA">
        <w:rPr>
          <w:color w:val="auto"/>
          <w:sz w:val="20"/>
          <w:szCs w:val="20"/>
        </w:rPr>
        <w:t xml:space="preserve"> a product can be classified as 'sustainable'. The legislation and regulatory landscape </w:t>
      </w:r>
      <w:proofErr w:type="gramStart"/>
      <w:r w:rsidRPr="00E023EA">
        <w:rPr>
          <w:color w:val="auto"/>
          <w:sz w:val="20"/>
          <w:szCs w:val="20"/>
        </w:rPr>
        <w:t>is</w:t>
      </w:r>
      <w:proofErr w:type="gramEnd"/>
      <w:r w:rsidRPr="00E023EA">
        <w:rPr>
          <w:color w:val="auto"/>
          <w:sz w:val="20"/>
          <w:szCs w:val="20"/>
        </w:rPr>
        <w:t xml:space="preserve"> undergoing rapid changes which could affect Citi's position when considering its investments in certain assets. Citi may re-evaluate its asset pools, and all applicable eligibility requirements in the future following regulatory developments; this is to ensure compliance with legal requirements when qualifying an asset as 'sustainable'. To the extent any such changes are made, </w:t>
      </w:r>
      <w:r w:rsidR="00DB0DE8" w:rsidRPr="00E023EA">
        <w:rPr>
          <w:color w:val="auto"/>
          <w:sz w:val="20"/>
          <w:szCs w:val="20"/>
        </w:rPr>
        <w:t>the updated framework</w:t>
      </w:r>
      <w:r w:rsidRPr="00E023EA">
        <w:rPr>
          <w:color w:val="auto"/>
          <w:sz w:val="20"/>
          <w:szCs w:val="20"/>
        </w:rPr>
        <w:t xml:space="preserve"> will be </w:t>
      </w:r>
      <w:r w:rsidR="00DB0DE8" w:rsidRPr="00E023EA">
        <w:rPr>
          <w:color w:val="auto"/>
          <w:sz w:val="20"/>
          <w:szCs w:val="20"/>
        </w:rPr>
        <w:t>published</w:t>
      </w:r>
      <w:r w:rsidRPr="00E023EA">
        <w:rPr>
          <w:color w:val="auto"/>
          <w:sz w:val="20"/>
          <w:szCs w:val="20"/>
        </w:rPr>
        <w:t xml:space="preserve"> on </w:t>
      </w:r>
      <w:r w:rsidR="00DB0DE8" w:rsidRPr="00E023EA">
        <w:rPr>
          <w:color w:val="auto"/>
          <w:sz w:val="20"/>
          <w:szCs w:val="20"/>
        </w:rPr>
        <w:t>https://www.citigroup.com/citi/fixedincome/csd_securities.htm.</w:t>
      </w:r>
    </w:p>
    <w:p w14:paraId="4E058EB9" w14:textId="53834DA3" w:rsidR="00945BA1" w:rsidRPr="00E023EA" w:rsidRDefault="00945BA1" w:rsidP="00945BA1">
      <w:pPr>
        <w:pStyle w:val="Default"/>
        <w:rPr>
          <w:color w:val="auto"/>
          <w:sz w:val="20"/>
          <w:szCs w:val="20"/>
        </w:rPr>
      </w:pPr>
      <w:r w:rsidRPr="00E023EA">
        <w:rPr>
          <w:color w:val="auto"/>
          <w:sz w:val="20"/>
          <w:szCs w:val="20"/>
        </w:rPr>
        <w:t xml:space="preserve">Additional information may be found at </w:t>
      </w:r>
      <w:hyperlink r:id="rId11" w:history="1">
        <w:r w:rsidR="003D1491" w:rsidRPr="00E023EA">
          <w:rPr>
            <w:rStyle w:val="Hyperlink"/>
            <w:sz w:val="20"/>
            <w:szCs w:val="20"/>
          </w:rPr>
          <w:t>www.citigroup.com</w:t>
        </w:r>
      </w:hyperlink>
      <w:r w:rsidR="003D1491" w:rsidRPr="00E023EA">
        <w:rPr>
          <w:color w:val="auto"/>
          <w:sz w:val="20"/>
          <w:szCs w:val="20"/>
        </w:rPr>
        <w:t xml:space="preserve"> </w:t>
      </w:r>
      <w:r w:rsidRPr="00E023EA">
        <w:rPr>
          <w:color w:val="auto"/>
          <w:sz w:val="20"/>
          <w:szCs w:val="20"/>
        </w:rPr>
        <w:t xml:space="preserve">| Twitter: @Citi | YouTube: </w:t>
      </w:r>
      <w:hyperlink r:id="rId12" w:history="1">
        <w:r w:rsidR="003D1491" w:rsidRPr="00E023EA">
          <w:rPr>
            <w:rStyle w:val="Hyperlink"/>
            <w:sz w:val="20"/>
            <w:szCs w:val="20"/>
          </w:rPr>
          <w:t>www.youtube.com/citi</w:t>
        </w:r>
      </w:hyperlink>
      <w:r w:rsidR="003D1491" w:rsidRPr="00E023EA">
        <w:rPr>
          <w:color w:val="auto"/>
          <w:sz w:val="20"/>
          <w:szCs w:val="20"/>
        </w:rPr>
        <w:t xml:space="preserve"> </w:t>
      </w:r>
      <w:r w:rsidRPr="00E023EA">
        <w:rPr>
          <w:color w:val="auto"/>
          <w:sz w:val="20"/>
          <w:szCs w:val="20"/>
        </w:rPr>
        <w:t xml:space="preserve">| Blog: </w:t>
      </w:r>
      <w:hyperlink r:id="rId13" w:history="1">
        <w:r w:rsidR="003D1491" w:rsidRPr="00E023EA">
          <w:rPr>
            <w:rStyle w:val="Hyperlink"/>
            <w:sz w:val="20"/>
            <w:szCs w:val="20"/>
          </w:rPr>
          <w:t>https://blog.citigroup.com/</w:t>
        </w:r>
      </w:hyperlink>
      <w:r w:rsidR="003D1491" w:rsidRPr="00E023EA">
        <w:rPr>
          <w:rStyle w:val="Hyperlink"/>
          <w:sz w:val="20"/>
          <w:szCs w:val="20"/>
          <w:u w:val="none"/>
        </w:rPr>
        <w:t xml:space="preserve"> </w:t>
      </w:r>
      <w:r w:rsidRPr="00E023EA">
        <w:rPr>
          <w:color w:val="auto"/>
          <w:sz w:val="20"/>
          <w:szCs w:val="20"/>
        </w:rPr>
        <w:t xml:space="preserve">| Facebook: </w:t>
      </w:r>
      <w:hyperlink r:id="rId14" w:history="1">
        <w:r w:rsidR="003D1491" w:rsidRPr="00E023EA">
          <w:rPr>
            <w:rStyle w:val="Hyperlink"/>
            <w:sz w:val="20"/>
            <w:szCs w:val="20"/>
          </w:rPr>
          <w:t>www.facebook.com/citi</w:t>
        </w:r>
      </w:hyperlink>
      <w:r w:rsidR="003D1491" w:rsidRPr="00E023EA">
        <w:rPr>
          <w:color w:val="auto"/>
          <w:sz w:val="20"/>
          <w:szCs w:val="20"/>
        </w:rPr>
        <w:t xml:space="preserve"> </w:t>
      </w:r>
      <w:r w:rsidRPr="00E023EA">
        <w:rPr>
          <w:color w:val="auto"/>
          <w:sz w:val="20"/>
          <w:szCs w:val="20"/>
        </w:rPr>
        <w:t>| LinkedIn:</w:t>
      </w:r>
      <w:hyperlink r:id="rId15" w:history="1">
        <w:r w:rsidR="00253FE8" w:rsidRPr="00E023EA">
          <w:rPr>
            <w:rStyle w:val="Hyperlink"/>
            <w:sz w:val="20"/>
            <w:szCs w:val="20"/>
          </w:rPr>
          <w:t>www.linkedin.com/company/citi</w:t>
        </w:r>
      </w:hyperlink>
      <w:r w:rsidRPr="00E023EA">
        <w:rPr>
          <w:color w:val="auto"/>
          <w:sz w:val="20"/>
          <w:szCs w:val="20"/>
        </w:rPr>
        <w:t xml:space="preserve"> </w:t>
      </w:r>
    </w:p>
    <w:p w14:paraId="46411C29" w14:textId="77777777" w:rsidR="00945BA1" w:rsidRPr="00E023EA" w:rsidRDefault="00945BA1" w:rsidP="00945BA1">
      <w:pPr>
        <w:pStyle w:val="Default"/>
        <w:rPr>
          <w:color w:val="auto"/>
          <w:sz w:val="20"/>
          <w:szCs w:val="20"/>
        </w:rPr>
      </w:pPr>
    </w:p>
    <w:p w14:paraId="4AE21946" w14:textId="27E8C6FC" w:rsidR="00FA3208" w:rsidRPr="00E023EA" w:rsidRDefault="00945BA1" w:rsidP="00945BA1">
      <w:pPr>
        <w:pStyle w:val="Text"/>
        <w:rPr>
          <w:b/>
          <w:bCs/>
          <w:sz w:val="20"/>
          <w:szCs w:val="20"/>
        </w:rPr>
      </w:pPr>
      <w:r w:rsidRPr="00E023EA">
        <w:rPr>
          <w:b/>
          <w:bCs/>
          <w:sz w:val="20"/>
          <w:szCs w:val="20"/>
        </w:rPr>
        <w:t>Media Contact:</w:t>
      </w:r>
    </w:p>
    <w:p w14:paraId="277991AE" w14:textId="541A3700" w:rsidR="00CE102C" w:rsidRPr="00E023EA" w:rsidRDefault="00D757F3" w:rsidP="00945BA1">
      <w:pPr>
        <w:pStyle w:val="Text"/>
        <w:rPr>
          <w:sz w:val="20"/>
          <w:szCs w:val="20"/>
        </w:rPr>
      </w:pPr>
      <w:r w:rsidRPr="00E023EA">
        <w:rPr>
          <w:sz w:val="20"/>
          <w:szCs w:val="20"/>
        </w:rPr>
        <w:t xml:space="preserve">Belinda Marks </w:t>
      </w:r>
      <w:hyperlink r:id="rId16" w:history="1">
        <w:r w:rsidRPr="00E023EA">
          <w:rPr>
            <w:rStyle w:val="Hyperlink"/>
            <w:sz w:val="20"/>
            <w:szCs w:val="20"/>
          </w:rPr>
          <w:t>Belinda.marks@citi.com</w:t>
        </w:r>
      </w:hyperlink>
    </w:p>
    <w:p w14:paraId="55067EA7" w14:textId="77777777" w:rsidR="00FC3FE8" w:rsidRPr="00E023EA" w:rsidRDefault="00FC3FE8" w:rsidP="00FC3FE8">
      <w:pPr>
        <w:spacing w:after="0" w:line="240" w:lineRule="auto"/>
        <w:rPr>
          <w:rFonts w:eastAsia="Times New Roman"/>
          <w:sz w:val="20"/>
          <w:szCs w:val="20"/>
          <w:lang w:eastAsia="en-GB"/>
        </w:rPr>
      </w:pPr>
    </w:p>
    <w:p w14:paraId="357CA4EA" w14:textId="77777777" w:rsidR="00FC3FE8" w:rsidRPr="00E023EA" w:rsidRDefault="00FC3FE8" w:rsidP="00FC3FE8">
      <w:pPr>
        <w:spacing w:after="0" w:line="240" w:lineRule="auto"/>
        <w:rPr>
          <w:rFonts w:eastAsia="Times New Roman"/>
          <w:sz w:val="20"/>
          <w:szCs w:val="20"/>
          <w:lang w:val="en-GB" w:eastAsia="en-GB"/>
        </w:rPr>
      </w:pPr>
    </w:p>
    <w:p w14:paraId="5645A5DE" w14:textId="6AD2AD99" w:rsidR="00FC3FE8" w:rsidRPr="00E023EA" w:rsidRDefault="00FC3FE8" w:rsidP="009F6613">
      <w:pPr>
        <w:autoSpaceDE w:val="0"/>
        <w:autoSpaceDN w:val="0"/>
        <w:adjustRightInd w:val="0"/>
        <w:spacing w:after="0" w:line="240" w:lineRule="auto"/>
        <w:rPr>
          <w:rFonts w:asciiTheme="minorHAnsi" w:hAnsiTheme="minorHAnsi" w:cstheme="minorHAnsi"/>
          <w:sz w:val="20"/>
          <w:szCs w:val="20"/>
          <w:lang w:val="en-GB"/>
        </w:rPr>
      </w:pPr>
    </w:p>
    <w:p w14:paraId="103F0D04" w14:textId="77777777" w:rsidR="00D757F3" w:rsidRPr="00E023EA" w:rsidRDefault="00D757F3" w:rsidP="00945BA1">
      <w:pPr>
        <w:pStyle w:val="Text"/>
        <w:rPr>
          <w:sz w:val="20"/>
          <w:szCs w:val="20"/>
        </w:rPr>
      </w:pPr>
    </w:p>
    <w:bookmarkEnd w:id="0"/>
    <w:p w14:paraId="4AF853B9" w14:textId="2719112A" w:rsidR="00B935D2" w:rsidRPr="00B935D2" w:rsidRDefault="00B935D2">
      <w:pPr>
        <w:pStyle w:val="Text"/>
        <w:rPr>
          <w:lang w:val="es-ES"/>
        </w:rPr>
      </w:pPr>
    </w:p>
    <w:sectPr w:rsidR="00B935D2" w:rsidRPr="00B935D2" w:rsidSect="009F6613">
      <w:headerReference w:type="default" r:id="rId17"/>
      <w:footerReference w:type="default" r:id="rId18"/>
      <w:pgSz w:w="12240" w:h="15840"/>
      <w:pgMar w:top="1440" w:right="1080" w:bottom="1440" w:left="1440" w:header="34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473B" w14:textId="77777777" w:rsidR="0010234C" w:rsidRDefault="0010234C" w:rsidP="00945BA1">
      <w:pPr>
        <w:spacing w:after="0" w:line="240" w:lineRule="auto"/>
      </w:pPr>
      <w:r>
        <w:separator/>
      </w:r>
    </w:p>
  </w:endnote>
  <w:endnote w:type="continuationSeparator" w:id="0">
    <w:p w14:paraId="7BAC0712" w14:textId="77777777" w:rsidR="0010234C" w:rsidRDefault="0010234C" w:rsidP="0094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C6F3" w14:textId="2069EB27" w:rsidR="009F6613" w:rsidRPr="009F6613" w:rsidRDefault="009F6613">
    <w:pPr>
      <w:pStyle w:val="Footer"/>
      <w:rPr>
        <w:i/>
        <w:iCs/>
        <w:sz w:val="20"/>
        <w:szCs w:val="20"/>
        <w:lang w:val="en-GB"/>
      </w:rPr>
    </w:pPr>
    <w:r w:rsidRPr="009F6613">
      <w:rPr>
        <w:i/>
        <w:iCs/>
        <w:sz w:val="20"/>
        <w:szCs w:val="20"/>
        <w:lang w:val="en-GB"/>
      </w:rPr>
      <w:t xml:space="preserve">Public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0E19" w14:textId="77777777" w:rsidR="0010234C" w:rsidRDefault="0010234C" w:rsidP="00945BA1">
      <w:pPr>
        <w:spacing w:after="0" w:line="240" w:lineRule="auto"/>
      </w:pPr>
      <w:r>
        <w:separator/>
      </w:r>
    </w:p>
  </w:footnote>
  <w:footnote w:type="continuationSeparator" w:id="0">
    <w:p w14:paraId="08D8A3A6" w14:textId="77777777" w:rsidR="0010234C" w:rsidRDefault="0010234C" w:rsidP="00945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0767" w14:textId="76B76681" w:rsidR="00F15280" w:rsidRDefault="00F15280" w:rsidP="00F15280">
    <w:pPr>
      <w:pStyle w:val="Header"/>
      <w:jc w:val="right"/>
    </w:pPr>
    <w:r w:rsidRPr="00F2408E">
      <w:rPr>
        <w:noProof/>
        <w:lang w:val="en-GB" w:eastAsia="en-GB"/>
      </w:rPr>
      <w:drawing>
        <wp:inline distT="0" distB="0" distL="0" distR="0" wp14:anchorId="74E46144" wp14:editId="78745806">
          <wp:extent cx="885825" cy="504825"/>
          <wp:effectExtent l="19050" t="0" r="9525" b="0"/>
          <wp:docPr id="1" name="Picture 5" descr="Citi_BLUE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i_BLUE_r"/>
                  <pic:cNvPicPr>
                    <a:picLocks noChangeAspect="1" noChangeArrowheads="1"/>
                  </pic:cNvPicPr>
                </pic:nvPicPr>
                <pic:blipFill>
                  <a:blip r:embed="rId1" cstate="print"/>
                  <a:srcRect/>
                  <a:stretch>
                    <a:fillRect/>
                  </a:stretch>
                </pic:blipFill>
                <pic:spPr bwMode="auto">
                  <a:xfrm>
                    <a:off x="0" y="0"/>
                    <a:ext cx="885825"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16CE"/>
    <w:multiLevelType w:val="hybridMultilevel"/>
    <w:tmpl w:val="D486D9D6"/>
    <w:lvl w:ilvl="0" w:tplc="7EAE35B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337920"/>
    <w:multiLevelType w:val="hybridMultilevel"/>
    <w:tmpl w:val="17D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23383"/>
    <w:multiLevelType w:val="hybridMultilevel"/>
    <w:tmpl w:val="B88A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973C2"/>
    <w:multiLevelType w:val="hybridMultilevel"/>
    <w:tmpl w:val="629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200BD"/>
    <w:multiLevelType w:val="hybridMultilevel"/>
    <w:tmpl w:val="9EE2CCA4"/>
    <w:lvl w:ilvl="0" w:tplc="3D1A6D1E">
      <w:start w:val="1"/>
      <w:numFmt w:val="decimal"/>
      <w:lvlText w:val="%1."/>
      <w:lvlJc w:val="left"/>
      <w:pPr>
        <w:ind w:left="1035" w:hanging="6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970493"/>
    <w:multiLevelType w:val="hybridMultilevel"/>
    <w:tmpl w:val="3110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endixFormat" w:val=" "/>
    <w:docVar w:name="AppendixSeparator" w:val=" "/>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Letter"/>
    <w:docVar w:name="ResetDate" w:val=" "/>
    <w:docVar w:name="RightHeader" w:val="Confidential"/>
    <w:docVar w:name="StartingPageNumber" w:val="1"/>
    <w:docVar w:name="StartingTopicLevel" w:val="1"/>
    <w:docVar w:name="Styleset" w:val="CMB Portrait"/>
    <w:docVar w:name="TopicLevel1Format" w:val="arabic"/>
    <w:docVar w:name="TopicLevel1Separator" w:val="."/>
    <w:docVar w:name="TopicLevel2Format" w:val="ALPHABETIC"/>
    <w:docVar w:name="TopicLevel2Separator" w:val="."/>
    <w:docVar w:name="TopicLevel3Format" w:val="alphabetic"/>
    <w:docVar w:name="TopicLevel3Separator" w:val="."/>
    <w:docVar w:name="TopicLevelCount" w:val="0"/>
  </w:docVars>
  <w:rsids>
    <w:rsidRoot w:val="00945BA1"/>
    <w:rsid w:val="00015633"/>
    <w:rsid w:val="00023D8D"/>
    <w:rsid w:val="00045E1E"/>
    <w:rsid w:val="00055A36"/>
    <w:rsid w:val="0006366B"/>
    <w:rsid w:val="000637F5"/>
    <w:rsid w:val="00064C12"/>
    <w:rsid w:val="00067A97"/>
    <w:rsid w:val="000972D3"/>
    <w:rsid w:val="000A25D9"/>
    <w:rsid w:val="000C2B58"/>
    <w:rsid w:val="000C398A"/>
    <w:rsid w:val="000C7C8D"/>
    <w:rsid w:val="000D2FD9"/>
    <w:rsid w:val="000F6246"/>
    <w:rsid w:val="0010234C"/>
    <w:rsid w:val="00102BA5"/>
    <w:rsid w:val="00133011"/>
    <w:rsid w:val="001373EC"/>
    <w:rsid w:val="00137D15"/>
    <w:rsid w:val="0014739A"/>
    <w:rsid w:val="0017110A"/>
    <w:rsid w:val="00177057"/>
    <w:rsid w:val="001A4CDC"/>
    <w:rsid w:val="001B2A41"/>
    <w:rsid w:val="001B5EE3"/>
    <w:rsid w:val="001C0059"/>
    <w:rsid w:val="001C7D14"/>
    <w:rsid w:val="001D2C0A"/>
    <w:rsid w:val="001D723F"/>
    <w:rsid w:val="00203C0E"/>
    <w:rsid w:val="002064AF"/>
    <w:rsid w:val="002113AA"/>
    <w:rsid w:val="00211E4E"/>
    <w:rsid w:val="002241F6"/>
    <w:rsid w:val="00232F8B"/>
    <w:rsid w:val="00233230"/>
    <w:rsid w:val="00253C78"/>
    <w:rsid w:val="00253FE8"/>
    <w:rsid w:val="0026370F"/>
    <w:rsid w:val="002644B3"/>
    <w:rsid w:val="00267501"/>
    <w:rsid w:val="0028753B"/>
    <w:rsid w:val="00296A84"/>
    <w:rsid w:val="002B5458"/>
    <w:rsid w:val="002E2CA4"/>
    <w:rsid w:val="002F4319"/>
    <w:rsid w:val="003012D1"/>
    <w:rsid w:val="00311B6A"/>
    <w:rsid w:val="00320622"/>
    <w:rsid w:val="00324F0C"/>
    <w:rsid w:val="0032657C"/>
    <w:rsid w:val="003537BA"/>
    <w:rsid w:val="0037019A"/>
    <w:rsid w:val="003722AA"/>
    <w:rsid w:val="00382549"/>
    <w:rsid w:val="00394439"/>
    <w:rsid w:val="003B1CA1"/>
    <w:rsid w:val="003B4758"/>
    <w:rsid w:val="003D071D"/>
    <w:rsid w:val="003D1491"/>
    <w:rsid w:val="003D5385"/>
    <w:rsid w:val="00406264"/>
    <w:rsid w:val="004206A1"/>
    <w:rsid w:val="00436268"/>
    <w:rsid w:val="00442D16"/>
    <w:rsid w:val="00454E11"/>
    <w:rsid w:val="00461950"/>
    <w:rsid w:val="00465581"/>
    <w:rsid w:val="00487F82"/>
    <w:rsid w:val="004A3994"/>
    <w:rsid w:val="004C27BB"/>
    <w:rsid w:val="004D4BBB"/>
    <w:rsid w:val="004E12C9"/>
    <w:rsid w:val="00507A90"/>
    <w:rsid w:val="00511D8D"/>
    <w:rsid w:val="00527B1F"/>
    <w:rsid w:val="00535B4F"/>
    <w:rsid w:val="0053761C"/>
    <w:rsid w:val="00545094"/>
    <w:rsid w:val="00545411"/>
    <w:rsid w:val="00547F49"/>
    <w:rsid w:val="00564862"/>
    <w:rsid w:val="005676DA"/>
    <w:rsid w:val="00585DBC"/>
    <w:rsid w:val="005870BC"/>
    <w:rsid w:val="005C7F72"/>
    <w:rsid w:val="00604886"/>
    <w:rsid w:val="00614471"/>
    <w:rsid w:val="006206B8"/>
    <w:rsid w:val="0063229E"/>
    <w:rsid w:val="006325CD"/>
    <w:rsid w:val="00637FFC"/>
    <w:rsid w:val="006449FE"/>
    <w:rsid w:val="006532C7"/>
    <w:rsid w:val="00662B52"/>
    <w:rsid w:val="006711C5"/>
    <w:rsid w:val="00673509"/>
    <w:rsid w:val="00683187"/>
    <w:rsid w:val="00691CE7"/>
    <w:rsid w:val="00696A75"/>
    <w:rsid w:val="006A0900"/>
    <w:rsid w:val="006C25A9"/>
    <w:rsid w:val="006C3414"/>
    <w:rsid w:val="006E4233"/>
    <w:rsid w:val="006E5A71"/>
    <w:rsid w:val="006F0205"/>
    <w:rsid w:val="006F346D"/>
    <w:rsid w:val="00711B5F"/>
    <w:rsid w:val="00724ACB"/>
    <w:rsid w:val="00734DD2"/>
    <w:rsid w:val="0074129C"/>
    <w:rsid w:val="0074258D"/>
    <w:rsid w:val="00742EF5"/>
    <w:rsid w:val="00750294"/>
    <w:rsid w:val="00750B88"/>
    <w:rsid w:val="007616C2"/>
    <w:rsid w:val="00764FB7"/>
    <w:rsid w:val="00766141"/>
    <w:rsid w:val="00771CE6"/>
    <w:rsid w:val="00780519"/>
    <w:rsid w:val="00792BF6"/>
    <w:rsid w:val="00796AA7"/>
    <w:rsid w:val="007B74FD"/>
    <w:rsid w:val="007B7ED2"/>
    <w:rsid w:val="007C105E"/>
    <w:rsid w:val="007C16C0"/>
    <w:rsid w:val="007E3289"/>
    <w:rsid w:val="007F5EEF"/>
    <w:rsid w:val="007F748B"/>
    <w:rsid w:val="00801F86"/>
    <w:rsid w:val="008057B1"/>
    <w:rsid w:val="00825CF2"/>
    <w:rsid w:val="00857B9B"/>
    <w:rsid w:val="0088477A"/>
    <w:rsid w:val="00890C5C"/>
    <w:rsid w:val="0089385A"/>
    <w:rsid w:val="008B07CB"/>
    <w:rsid w:val="008B248C"/>
    <w:rsid w:val="008B441E"/>
    <w:rsid w:val="008B57E4"/>
    <w:rsid w:val="008D12C0"/>
    <w:rsid w:val="009118A5"/>
    <w:rsid w:val="0091259F"/>
    <w:rsid w:val="00914AC8"/>
    <w:rsid w:val="00914B7B"/>
    <w:rsid w:val="00920439"/>
    <w:rsid w:val="00925D69"/>
    <w:rsid w:val="00933D9B"/>
    <w:rsid w:val="00945BA1"/>
    <w:rsid w:val="0094792B"/>
    <w:rsid w:val="00955F64"/>
    <w:rsid w:val="00964C24"/>
    <w:rsid w:val="00972829"/>
    <w:rsid w:val="0099120B"/>
    <w:rsid w:val="009A65CD"/>
    <w:rsid w:val="009A6ECF"/>
    <w:rsid w:val="009B1AC1"/>
    <w:rsid w:val="009B268F"/>
    <w:rsid w:val="009C682B"/>
    <w:rsid w:val="009D15A2"/>
    <w:rsid w:val="009D582D"/>
    <w:rsid w:val="009E576B"/>
    <w:rsid w:val="009F6613"/>
    <w:rsid w:val="009F700E"/>
    <w:rsid w:val="00A00A58"/>
    <w:rsid w:val="00A3157F"/>
    <w:rsid w:val="00A4050D"/>
    <w:rsid w:val="00A444D3"/>
    <w:rsid w:val="00A60171"/>
    <w:rsid w:val="00A6183B"/>
    <w:rsid w:val="00A64E61"/>
    <w:rsid w:val="00A815C6"/>
    <w:rsid w:val="00A9181F"/>
    <w:rsid w:val="00A94920"/>
    <w:rsid w:val="00A94CCA"/>
    <w:rsid w:val="00AA648C"/>
    <w:rsid w:val="00AE4A36"/>
    <w:rsid w:val="00B22483"/>
    <w:rsid w:val="00B31C0D"/>
    <w:rsid w:val="00B53377"/>
    <w:rsid w:val="00B66FD1"/>
    <w:rsid w:val="00B71917"/>
    <w:rsid w:val="00B72359"/>
    <w:rsid w:val="00B7618F"/>
    <w:rsid w:val="00B81AAB"/>
    <w:rsid w:val="00B82558"/>
    <w:rsid w:val="00B8769F"/>
    <w:rsid w:val="00B935D2"/>
    <w:rsid w:val="00BA46FA"/>
    <w:rsid w:val="00BB5BA6"/>
    <w:rsid w:val="00BC7B04"/>
    <w:rsid w:val="00BD3B9A"/>
    <w:rsid w:val="00C07040"/>
    <w:rsid w:val="00C10098"/>
    <w:rsid w:val="00C17F25"/>
    <w:rsid w:val="00C33E48"/>
    <w:rsid w:val="00C552E6"/>
    <w:rsid w:val="00C8105C"/>
    <w:rsid w:val="00CA4359"/>
    <w:rsid w:val="00CA503C"/>
    <w:rsid w:val="00CA55C6"/>
    <w:rsid w:val="00CB3AB3"/>
    <w:rsid w:val="00CB7EFA"/>
    <w:rsid w:val="00CD1742"/>
    <w:rsid w:val="00CE102C"/>
    <w:rsid w:val="00CE17C8"/>
    <w:rsid w:val="00CE55B1"/>
    <w:rsid w:val="00CE763D"/>
    <w:rsid w:val="00CF7735"/>
    <w:rsid w:val="00D01DBB"/>
    <w:rsid w:val="00D21176"/>
    <w:rsid w:val="00D22387"/>
    <w:rsid w:val="00D311AA"/>
    <w:rsid w:val="00D50E21"/>
    <w:rsid w:val="00D73802"/>
    <w:rsid w:val="00D74A8D"/>
    <w:rsid w:val="00D757F3"/>
    <w:rsid w:val="00D94BD8"/>
    <w:rsid w:val="00DA6BCD"/>
    <w:rsid w:val="00DA7A5C"/>
    <w:rsid w:val="00DB0DE8"/>
    <w:rsid w:val="00DB6113"/>
    <w:rsid w:val="00DB7753"/>
    <w:rsid w:val="00DC56E5"/>
    <w:rsid w:val="00DF75E4"/>
    <w:rsid w:val="00DF7FEA"/>
    <w:rsid w:val="00E0001E"/>
    <w:rsid w:val="00E023EA"/>
    <w:rsid w:val="00E16BC6"/>
    <w:rsid w:val="00E242DD"/>
    <w:rsid w:val="00E2737E"/>
    <w:rsid w:val="00E33A43"/>
    <w:rsid w:val="00E40F15"/>
    <w:rsid w:val="00E43521"/>
    <w:rsid w:val="00E50310"/>
    <w:rsid w:val="00E8497F"/>
    <w:rsid w:val="00E866BD"/>
    <w:rsid w:val="00E91139"/>
    <w:rsid w:val="00E9374F"/>
    <w:rsid w:val="00EC4BE3"/>
    <w:rsid w:val="00F15280"/>
    <w:rsid w:val="00F17F09"/>
    <w:rsid w:val="00F20BB7"/>
    <w:rsid w:val="00F544DC"/>
    <w:rsid w:val="00F564CB"/>
    <w:rsid w:val="00F625F8"/>
    <w:rsid w:val="00F71598"/>
    <w:rsid w:val="00F92851"/>
    <w:rsid w:val="00F96370"/>
    <w:rsid w:val="00F97328"/>
    <w:rsid w:val="00FA3208"/>
    <w:rsid w:val="00FC2777"/>
    <w:rsid w:val="00FC3FE8"/>
    <w:rsid w:val="00FC531E"/>
    <w:rsid w:val="00FE0106"/>
    <w:rsid w:val="00FF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11E962"/>
  <w15:docId w15:val="{C0572106-9962-4150-B70A-D9FB855A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1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945BA1"/>
  </w:style>
  <w:style w:type="character" w:customStyle="1" w:styleId="TextChar">
    <w:name w:val="Text Char"/>
    <w:basedOn w:val="DefaultParagraphFont"/>
    <w:link w:val="Text"/>
    <w:rsid w:val="00945BA1"/>
    <w:rPr>
      <w:rFonts w:ascii="Arial" w:hAnsi="Arial" w:cs="Arial"/>
    </w:rPr>
  </w:style>
  <w:style w:type="paragraph" w:customStyle="1" w:styleId="Default">
    <w:name w:val="Default"/>
    <w:rsid w:val="00945B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5BA1"/>
    <w:rPr>
      <w:color w:val="00BDF2" w:themeColor="hyperlink"/>
      <w:u w:val="single"/>
    </w:rPr>
  </w:style>
  <w:style w:type="paragraph" w:styleId="Header">
    <w:name w:val="header"/>
    <w:basedOn w:val="Normal"/>
    <w:link w:val="HeaderChar"/>
    <w:uiPriority w:val="99"/>
    <w:unhideWhenUsed/>
    <w:rsid w:val="0094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A1"/>
    <w:rPr>
      <w:rFonts w:ascii="Arial" w:hAnsi="Arial" w:cs="Arial"/>
    </w:rPr>
  </w:style>
  <w:style w:type="paragraph" w:styleId="Footer">
    <w:name w:val="footer"/>
    <w:basedOn w:val="Normal"/>
    <w:link w:val="FooterChar"/>
    <w:uiPriority w:val="99"/>
    <w:unhideWhenUsed/>
    <w:rsid w:val="0094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A1"/>
    <w:rPr>
      <w:rFonts w:ascii="Arial" w:hAnsi="Arial" w:cs="Arial"/>
    </w:rPr>
  </w:style>
  <w:style w:type="character" w:styleId="Strong">
    <w:name w:val="Strong"/>
    <w:basedOn w:val="DefaultParagraphFont"/>
    <w:uiPriority w:val="22"/>
    <w:qFormat/>
    <w:rsid w:val="00461950"/>
    <w:rPr>
      <w:b/>
      <w:bCs/>
    </w:rPr>
  </w:style>
  <w:style w:type="paragraph" w:customStyle="1" w:styleId="ExplanatoryText">
    <w:name w:val="Explanatory Text"/>
    <w:basedOn w:val="Normal"/>
    <w:link w:val="ExplanatoryTextChar"/>
    <w:uiPriority w:val="99"/>
    <w:rsid w:val="00461950"/>
    <w:pPr>
      <w:spacing w:after="0" w:line="240" w:lineRule="auto"/>
    </w:pPr>
    <w:rPr>
      <w:rFonts w:ascii="Helvetica" w:eastAsia="Times New Roman" w:hAnsi="Helvetica"/>
      <w:color w:val="0000FF"/>
      <w:sz w:val="18"/>
      <w:szCs w:val="20"/>
      <w:lang w:val="en-GB"/>
    </w:rPr>
  </w:style>
  <w:style w:type="character" w:customStyle="1" w:styleId="ExplanatoryTextChar">
    <w:name w:val="Explanatory Text Char"/>
    <w:basedOn w:val="DefaultParagraphFont"/>
    <w:link w:val="ExplanatoryText"/>
    <w:uiPriority w:val="99"/>
    <w:rsid w:val="00461950"/>
    <w:rPr>
      <w:rFonts w:ascii="Helvetica" w:eastAsia="Times New Roman" w:hAnsi="Helvetica" w:cs="Arial"/>
      <w:color w:val="0000FF"/>
      <w:sz w:val="18"/>
      <w:szCs w:val="20"/>
      <w:lang w:val="en-GB"/>
    </w:rPr>
  </w:style>
  <w:style w:type="character" w:styleId="CommentReference">
    <w:name w:val="annotation reference"/>
    <w:basedOn w:val="DefaultParagraphFont"/>
    <w:uiPriority w:val="99"/>
    <w:semiHidden/>
    <w:unhideWhenUsed/>
    <w:rsid w:val="00233230"/>
    <w:rPr>
      <w:sz w:val="16"/>
      <w:szCs w:val="16"/>
    </w:rPr>
  </w:style>
  <w:style w:type="paragraph" w:styleId="CommentText">
    <w:name w:val="annotation text"/>
    <w:basedOn w:val="Normal"/>
    <w:link w:val="CommentTextChar"/>
    <w:uiPriority w:val="99"/>
    <w:semiHidden/>
    <w:unhideWhenUsed/>
    <w:rsid w:val="00233230"/>
    <w:pPr>
      <w:spacing w:line="240" w:lineRule="auto"/>
    </w:pPr>
    <w:rPr>
      <w:sz w:val="20"/>
      <w:szCs w:val="20"/>
    </w:rPr>
  </w:style>
  <w:style w:type="character" w:customStyle="1" w:styleId="CommentTextChar">
    <w:name w:val="Comment Text Char"/>
    <w:basedOn w:val="DefaultParagraphFont"/>
    <w:link w:val="CommentText"/>
    <w:uiPriority w:val="99"/>
    <w:semiHidden/>
    <w:rsid w:val="002332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33230"/>
    <w:rPr>
      <w:b/>
      <w:bCs/>
    </w:rPr>
  </w:style>
  <w:style w:type="character" w:customStyle="1" w:styleId="CommentSubjectChar">
    <w:name w:val="Comment Subject Char"/>
    <w:basedOn w:val="CommentTextChar"/>
    <w:link w:val="CommentSubject"/>
    <w:uiPriority w:val="99"/>
    <w:semiHidden/>
    <w:rsid w:val="00233230"/>
    <w:rPr>
      <w:rFonts w:ascii="Arial" w:hAnsi="Arial" w:cs="Arial"/>
      <w:b/>
      <w:bCs/>
      <w:sz w:val="20"/>
      <w:szCs w:val="20"/>
    </w:rPr>
  </w:style>
  <w:style w:type="paragraph" w:styleId="BalloonText">
    <w:name w:val="Balloon Text"/>
    <w:basedOn w:val="Normal"/>
    <w:link w:val="BalloonTextChar"/>
    <w:uiPriority w:val="99"/>
    <w:semiHidden/>
    <w:unhideWhenUsed/>
    <w:rsid w:val="0023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B7ED2"/>
    <w:rPr>
      <w:color w:val="605E5C"/>
      <w:shd w:val="clear" w:color="auto" w:fill="E1DFDD"/>
    </w:rPr>
  </w:style>
  <w:style w:type="paragraph" w:styleId="ListParagraph">
    <w:name w:val="List Paragraph"/>
    <w:basedOn w:val="Normal"/>
    <w:uiPriority w:val="34"/>
    <w:qFormat/>
    <w:rsid w:val="00E50310"/>
    <w:pPr>
      <w:ind w:left="720"/>
      <w:contextualSpacing/>
    </w:pPr>
  </w:style>
  <w:style w:type="paragraph" w:styleId="Revision">
    <w:name w:val="Revision"/>
    <w:hidden/>
    <w:uiPriority w:val="99"/>
    <w:semiHidden/>
    <w:rsid w:val="005870BC"/>
    <w:pPr>
      <w:spacing w:after="0" w:line="240" w:lineRule="auto"/>
    </w:pPr>
    <w:rPr>
      <w:rFonts w:ascii="Arial" w:hAnsi="Arial" w:cs="Arial"/>
    </w:rPr>
  </w:style>
  <w:style w:type="character" w:customStyle="1" w:styleId="UnresolvedMention2">
    <w:name w:val="Unresolved Mention2"/>
    <w:basedOn w:val="DefaultParagraphFont"/>
    <w:uiPriority w:val="99"/>
    <w:semiHidden/>
    <w:unhideWhenUsed/>
    <w:rsid w:val="003D1491"/>
    <w:rPr>
      <w:color w:val="605E5C"/>
      <w:shd w:val="clear" w:color="auto" w:fill="E1DFDD"/>
    </w:rPr>
  </w:style>
  <w:style w:type="character" w:styleId="UnresolvedMention">
    <w:name w:val="Unresolved Mention"/>
    <w:basedOn w:val="DefaultParagraphFont"/>
    <w:uiPriority w:val="99"/>
    <w:semiHidden/>
    <w:unhideWhenUsed/>
    <w:rsid w:val="00890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0086">
      <w:bodyDiv w:val="1"/>
      <w:marLeft w:val="0"/>
      <w:marRight w:val="0"/>
      <w:marTop w:val="0"/>
      <w:marBottom w:val="0"/>
      <w:divBdr>
        <w:top w:val="none" w:sz="0" w:space="0" w:color="auto"/>
        <w:left w:val="none" w:sz="0" w:space="0" w:color="auto"/>
        <w:bottom w:val="none" w:sz="0" w:space="0" w:color="auto"/>
        <w:right w:val="none" w:sz="0" w:space="0" w:color="auto"/>
      </w:divBdr>
    </w:div>
    <w:div w:id="215163513">
      <w:bodyDiv w:val="1"/>
      <w:marLeft w:val="0"/>
      <w:marRight w:val="0"/>
      <w:marTop w:val="0"/>
      <w:marBottom w:val="0"/>
      <w:divBdr>
        <w:top w:val="none" w:sz="0" w:space="0" w:color="auto"/>
        <w:left w:val="none" w:sz="0" w:space="0" w:color="auto"/>
        <w:bottom w:val="none" w:sz="0" w:space="0" w:color="auto"/>
        <w:right w:val="none" w:sz="0" w:space="0" w:color="auto"/>
      </w:divBdr>
    </w:div>
    <w:div w:id="254755730">
      <w:bodyDiv w:val="1"/>
      <w:marLeft w:val="0"/>
      <w:marRight w:val="0"/>
      <w:marTop w:val="0"/>
      <w:marBottom w:val="0"/>
      <w:divBdr>
        <w:top w:val="none" w:sz="0" w:space="0" w:color="auto"/>
        <w:left w:val="none" w:sz="0" w:space="0" w:color="auto"/>
        <w:bottom w:val="none" w:sz="0" w:space="0" w:color="auto"/>
        <w:right w:val="none" w:sz="0" w:space="0" w:color="auto"/>
      </w:divBdr>
    </w:div>
    <w:div w:id="313067833">
      <w:bodyDiv w:val="1"/>
      <w:marLeft w:val="0"/>
      <w:marRight w:val="0"/>
      <w:marTop w:val="0"/>
      <w:marBottom w:val="0"/>
      <w:divBdr>
        <w:top w:val="none" w:sz="0" w:space="0" w:color="auto"/>
        <w:left w:val="none" w:sz="0" w:space="0" w:color="auto"/>
        <w:bottom w:val="none" w:sz="0" w:space="0" w:color="auto"/>
        <w:right w:val="none" w:sz="0" w:space="0" w:color="auto"/>
      </w:divBdr>
    </w:div>
    <w:div w:id="783504079">
      <w:bodyDiv w:val="1"/>
      <w:marLeft w:val="0"/>
      <w:marRight w:val="0"/>
      <w:marTop w:val="0"/>
      <w:marBottom w:val="0"/>
      <w:divBdr>
        <w:top w:val="none" w:sz="0" w:space="0" w:color="auto"/>
        <w:left w:val="none" w:sz="0" w:space="0" w:color="auto"/>
        <w:bottom w:val="none" w:sz="0" w:space="0" w:color="auto"/>
        <w:right w:val="none" w:sz="0" w:space="0" w:color="auto"/>
      </w:divBdr>
    </w:div>
    <w:div w:id="1518545838">
      <w:bodyDiv w:val="1"/>
      <w:marLeft w:val="0"/>
      <w:marRight w:val="0"/>
      <w:marTop w:val="0"/>
      <w:marBottom w:val="0"/>
      <w:divBdr>
        <w:top w:val="none" w:sz="0" w:space="0" w:color="auto"/>
        <w:left w:val="none" w:sz="0" w:space="0" w:color="auto"/>
        <w:bottom w:val="none" w:sz="0" w:space="0" w:color="auto"/>
        <w:right w:val="none" w:sz="0" w:space="0" w:color="auto"/>
      </w:divBdr>
    </w:div>
    <w:div w:id="1665931808">
      <w:bodyDiv w:val="1"/>
      <w:marLeft w:val="0"/>
      <w:marRight w:val="0"/>
      <w:marTop w:val="0"/>
      <w:marBottom w:val="0"/>
      <w:divBdr>
        <w:top w:val="none" w:sz="0" w:space="0" w:color="auto"/>
        <w:left w:val="none" w:sz="0" w:space="0" w:color="auto"/>
        <w:bottom w:val="none" w:sz="0" w:space="0" w:color="auto"/>
        <w:right w:val="none" w:sz="0" w:space="0" w:color="auto"/>
      </w:divBdr>
    </w:div>
    <w:div w:id="1820531839">
      <w:bodyDiv w:val="1"/>
      <w:marLeft w:val="0"/>
      <w:marRight w:val="0"/>
      <w:marTop w:val="0"/>
      <w:marBottom w:val="0"/>
      <w:divBdr>
        <w:top w:val="none" w:sz="0" w:space="0" w:color="auto"/>
        <w:left w:val="none" w:sz="0" w:space="0" w:color="auto"/>
        <w:bottom w:val="none" w:sz="0" w:space="0" w:color="auto"/>
        <w:right w:val="none" w:sz="0" w:space="0" w:color="auto"/>
      </w:divBdr>
    </w:div>
    <w:div w:id="20200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citigrou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ci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linda.marks@cit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igroup.com" TargetMode="External"/><Relationship Id="rId5" Type="http://schemas.openxmlformats.org/officeDocument/2006/relationships/numbering" Target="numbering.xml"/><Relationship Id="rId15" Type="http://schemas.openxmlformats.org/officeDocument/2006/relationships/hyperlink" Target="http://www.linkedin.com/company/ci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i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font script="Jpan" typeface="MS PGothic"/>
      </a:majorFont>
      <a:minorFont>
        <a:latin typeface="Arial"/>
        <a:ea typeface="STKaiti"/>
        <a:cs typeface=""/>
        <a:font script="Jpan" typeface="MS PGothic"/>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DOCUMENTGUID%">{00000000-0000-0000-0000-000000000000}</XMLData>
</file>

<file path=customXml/item4.xml><?xml version="1.0" encoding="utf-8"?>
<XMLData TextToDisplay="%CLASSIFICATIONDATETIME%">10:23 24/05/2022</XMLData>
</file>

<file path=customXml/itemProps1.xml><?xml version="1.0" encoding="utf-8"?>
<ds:datastoreItem xmlns:ds="http://schemas.openxmlformats.org/officeDocument/2006/customXml" ds:itemID="{1F01D892-520C-44E1-A9FF-A43BC6D433CB}">
  <ds:schemaRefs/>
</ds:datastoreItem>
</file>

<file path=customXml/itemProps2.xml><?xml version="1.0" encoding="utf-8"?>
<ds:datastoreItem xmlns:ds="http://schemas.openxmlformats.org/officeDocument/2006/customXml" ds:itemID="{7C001A08-BD0C-43D7-8AA5-809C4FF13EFD}">
  <ds:schemaRefs>
    <ds:schemaRef ds:uri="http://schemas.openxmlformats.org/officeDocument/2006/bibliography"/>
  </ds:schemaRefs>
</ds:datastoreItem>
</file>

<file path=customXml/itemProps3.xml><?xml version="1.0" encoding="utf-8"?>
<ds:datastoreItem xmlns:ds="http://schemas.openxmlformats.org/officeDocument/2006/customXml" ds:itemID="{9C4268A4-74E4-4387-B2F4-C01962281AAB}">
  <ds:schemaRefs/>
</ds:datastoreItem>
</file>

<file path=customXml/itemProps4.xml><?xml version="1.0" encoding="utf-8"?>
<ds:datastoreItem xmlns:ds="http://schemas.openxmlformats.org/officeDocument/2006/customXml" ds:itemID="{40FB8E85-961B-424F-97CB-D50DC35A7E4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Karina [ICG-TTS]</dc:creator>
  <cp:keywords/>
  <dc:description/>
  <cp:lastModifiedBy>Marks, Belinda [GPA]</cp:lastModifiedBy>
  <cp:revision>4</cp:revision>
  <cp:lastPrinted>2021-03-30T06:13:00Z</cp:lastPrinted>
  <dcterms:created xsi:type="dcterms:W3CDTF">2022-05-24T10:23:00Z</dcterms:created>
  <dcterms:modified xsi:type="dcterms:W3CDTF">2022-05-25T07:53:00Z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Version4.7.3.33</vt:lpwstr>
  </property>
  <property fmtid="{D5CDD505-2E9C-101B-9397-08002B2CF9AE}" pid="5" name="RightsWATCHMark">
    <vt:lpwstr>7|CITI-No PII-Public|{00000000-0000-0000-0000-000000000000}</vt:lpwstr>
  </property>
  <property fmtid="{D5CDD505-2E9C-101B-9397-08002B2CF9AE}" pid="6" name="MSIP_Label_dd181445-6ec4-4473-9810-00785f082df0_Enabled">
    <vt:lpwstr>true</vt:lpwstr>
  </property>
  <property fmtid="{D5CDD505-2E9C-101B-9397-08002B2CF9AE}" pid="7" name="MSIP_Label_dd181445-6ec4-4473-9810-00785f082df0_SetDate">
    <vt:lpwstr>2022-02-14T10:44:46Z</vt:lpwstr>
  </property>
  <property fmtid="{D5CDD505-2E9C-101B-9397-08002B2CF9AE}" pid="8" name="MSIP_Label_dd181445-6ec4-4473-9810-00785f082df0_Method">
    <vt:lpwstr>Privileged</vt:lpwstr>
  </property>
  <property fmtid="{D5CDD505-2E9C-101B-9397-08002B2CF9AE}" pid="9" name="MSIP_Label_dd181445-6ec4-4473-9810-00785f082df0_Name">
    <vt:lpwstr>Internal</vt:lpwstr>
  </property>
  <property fmtid="{D5CDD505-2E9C-101B-9397-08002B2CF9AE}" pid="10" name="MSIP_Label_dd181445-6ec4-4473-9810-00785f082df0_SiteId">
    <vt:lpwstr>1771ae17-e764-4e0f-a476-d4184d79a5d9</vt:lpwstr>
  </property>
  <property fmtid="{D5CDD505-2E9C-101B-9397-08002B2CF9AE}" pid="11" name="MSIP_Label_dd181445-6ec4-4473-9810-00785f082df0_ActionId">
    <vt:lpwstr>45017b4b-776f-4499-9df5-2cc961cd4ffd</vt:lpwstr>
  </property>
  <property fmtid="{D5CDD505-2E9C-101B-9397-08002B2CF9AE}" pid="12" name="MSIP_Label_dd181445-6ec4-4473-9810-00785f082df0_ContentBits">
    <vt:lpwstr>0</vt:lpwstr>
  </property>
</Properties>
</file>