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C335" w14:textId="77777777" w:rsidR="00023D8D" w:rsidRPr="00F2408E" w:rsidRDefault="00023D8D" w:rsidP="00023D8D">
      <w:pPr>
        <w:pStyle w:val="Text"/>
        <w:ind w:left="7200" w:firstLine="720"/>
        <w:rPr>
          <w:sz w:val="32"/>
          <w:szCs w:val="20"/>
        </w:rPr>
      </w:pPr>
      <w:r w:rsidRPr="00F2408E">
        <w:rPr>
          <w:noProof/>
        </w:rPr>
        <w:drawing>
          <wp:inline distT="0" distB="0" distL="0" distR="0" wp14:anchorId="6133D520" wp14:editId="1C840D83">
            <wp:extent cx="885825" cy="504825"/>
            <wp:effectExtent l="19050" t="0" r="9525" b="0"/>
            <wp:docPr id="1" name="Picture 5" descr="Citi_BLUE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i_BLUE_r"/>
                    <pic:cNvPicPr>
                      <a:picLocks noChangeAspect="1" noChangeArrowheads="1"/>
                    </pic:cNvPicPr>
                  </pic:nvPicPr>
                  <pic:blipFill>
                    <a:blip r:embed="rId11" cstate="print"/>
                    <a:srcRect/>
                    <a:stretch>
                      <a:fillRect/>
                    </a:stretch>
                  </pic:blipFill>
                  <pic:spPr bwMode="auto">
                    <a:xfrm>
                      <a:off x="0" y="0"/>
                      <a:ext cx="885825" cy="504825"/>
                    </a:xfrm>
                    <a:prstGeom prst="rect">
                      <a:avLst/>
                    </a:prstGeom>
                    <a:noFill/>
                    <a:ln w="9525">
                      <a:noFill/>
                      <a:miter lim="800000"/>
                      <a:headEnd/>
                      <a:tailEnd/>
                    </a:ln>
                  </pic:spPr>
                </pic:pic>
              </a:graphicData>
            </a:graphic>
          </wp:inline>
        </w:drawing>
      </w:r>
    </w:p>
    <w:p w14:paraId="73888505" w14:textId="77777777" w:rsidR="0068534C" w:rsidRDefault="0068534C" w:rsidP="00023D8D">
      <w:pPr>
        <w:spacing w:after="0" w:line="240" w:lineRule="auto"/>
        <w:rPr>
          <w:rFonts w:eastAsia="Times New Roman"/>
          <w:b/>
          <w:bCs/>
          <w:sz w:val="24"/>
          <w:szCs w:val="24"/>
        </w:rPr>
      </w:pPr>
    </w:p>
    <w:p w14:paraId="3D29C1B3" w14:textId="5DA73AD2" w:rsidR="00023D8D" w:rsidRPr="007041AE" w:rsidRDefault="00CE102C" w:rsidP="00023D8D">
      <w:pPr>
        <w:spacing w:after="0" w:line="240" w:lineRule="auto"/>
        <w:rPr>
          <w:rFonts w:eastAsia="Times New Roman"/>
          <w:b/>
          <w:bCs/>
          <w:sz w:val="24"/>
          <w:szCs w:val="24"/>
        </w:rPr>
      </w:pPr>
      <w:r w:rsidRPr="007041AE">
        <w:rPr>
          <w:rFonts w:eastAsia="Times New Roman"/>
          <w:b/>
          <w:bCs/>
          <w:sz w:val="24"/>
          <w:szCs w:val="24"/>
        </w:rPr>
        <w:t>For Immediate Release</w:t>
      </w:r>
    </w:p>
    <w:p w14:paraId="05F8BE42" w14:textId="77777777" w:rsidR="00023D8D" w:rsidRPr="007041AE" w:rsidRDefault="00023D8D" w:rsidP="00023D8D">
      <w:pPr>
        <w:spacing w:after="0" w:line="240" w:lineRule="auto"/>
        <w:rPr>
          <w:rFonts w:asciiTheme="minorHAnsi" w:eastAsia="Times New Roman" w:hAnsiTheme="minorHAnsi" w:cstheme="minorHAnsi"/>
          <w:b/>
          <w:bCs/>
          <w:sz w:val="24"/>
          <w:szCs w:val="24"/>
        </w:rPr>
      </w:pPr>
      <w:r w:rsidRPr="007041AE">
        <w:rPr>
          <w:rFonts w:asciiTheme="minorHAnsi" w:eastAsia="Times New Roman" w:hAnsiTheme="minorHAnsi" w:cstheme="minorHAnsi"/>
          <w:b/>
          <w:bCs/>
          <w:sz w:val="24"/>
          <w:szCs w:val="24"/>
        </w:rPr>
        <w:t>Citigroup Inc. (NYSE: C)</w:t>
      </w:r>
      <w:r w:rsidRPr="007041AE">
        <w:rPr>
          <w:rFonts w:asciiTheme="minorHAnsi" w:eastAsia="Times New Roman" w:hAnsiTheme="minorHAnsi" w:cstheme="minorHAnsi"/>
          <w:b/>
          <w:bCs/>
          <w:snapToGrid w:val="0"/>
          <w:w w:val="0"/>
          <w:sz w:val="24"/>
          <w:szCs w:val="24"/>
          <w:u w:color="000000"/>
          <w:bdr w:val="none" w:sz="0" w:space="0" w:color="000000"/>
          <w:shd w:val="clear" w:color="000000" w:fill="000000"/>
        </w:rPr>
        <w:t xml:space="preserve"> </w:t>
      </w:r>
    </w:p>
    <w:p w14:paraId="32A78F5E" w14:textId="621BFDFD" w:rsidR="00023D8D" w:rsidRPr="007041AE" w:rsidRDefault="00E4133F" w:rsidP="00023D8D">
      <w:pPr>
        <w:spacing w:after="0" w:line="240" w:lineRule="auto"/>
        <w:rPr>
          <w:rFonts w:eastAsia="Times New Roman"/>
          <w:b/>
          <w:bCs/>
          <w:sz w:val="24"/>
          <w:szCs w:val="24"/>
        </w:rPr>
      </w:pPr>
      <w:r>
        <w:rPr>
          <w:rFonts w:eastAsia="Times New Roman"/>
          <w:b/>
          <w:bCs/>
          <w:sz w:val="24"/>
          <w:szCs w:val="24"/>
        </w:rPr>
        <w:t>November</w:t>
      </w:r>
      <w:r w:rsidR="00094051">
        <w:rPr>
          <w:rFonts w:eastAsia="Times New Roman"/>
          <w:b/>
          <w:bCs/>
          <w:sz w:val="24"/>
          <w:szCs w:val="24"/>
        </w:rPr>
        <w:t xml:space="preserve"> </w:t>
      </w:r>
      <w:r w:rsidR="00F56C42">
        <w:rPr>
          <w:rFonts w:eastAsia="Times New Roman"/>
          <w:b/>
          <w:bCs/>
          <w:sz w:val="24"/>
          <w:szCs w:val="24"/>
        </w:rPr>
        <w:t>1</w:t>
      </w:r>
      <w:r w:rsidR="009A678B">
        <w:rPr>
          <w:rFonts w:eastAsia="Times New Roman"/>
          <w:b/>
          <w:bCs/>
          <w:sz w:val="24"/>
          <w:szCs w:val="24"/>
        </w:rPr>
        <w:t>,</w:t>
      </w:r>
      <w:r w:rsidR="00023D8D" w:rsidRPr="007041AE">
        <w:rPr>
          <w:rFonts w:eastAsia="Times New Roman"/>
          <w:b/>
          <w:bCs/>
          <w:sz w:val="24"/>
          <w:szCs w:val="24"/>
        </w:rPr>
        <w:t xml:space="preserve"> 2021</w:t>
      </w:r>
    </w:p>
    <w:p w14:paraId="08895E17" w14:textId="43F0192D" w:rsidR="00945BA1" w:rsidRDefault="00945BA1" w:rsidP="00945BA1">
      <w:pPr>
        <w:pStyle w:val="Default"/>
        <w:rPr>
          <w:sz w:val="22"/>
          <w:szCs w:val="22"/>
        </w:rPr>
      </w:pPr>
    </w:p>
    <w:p w14:paraId="6D02BE58" w14:textId="08DE4B73" w:rsidR="0068534C" w:rsidRDefault="0068534C" w:rsidP="00945BA1">
      <w:pPr>
        <w:pStyle w:val="Default"/>
        <w:rPr>
          <w:sz w:val="22"/>
          <w:szCs w:val="22"/>
        </w:rPr>
      </w:pPr>
    </w:p>
    <w:p w14:paraId="2D7FC02E" w14:textId="77777777" w:rsidR="00D5145A" w:rsidRDefault="00D5145A" w:rsidP="00D5145A">
      <w:pPr>
        <w:spacing w:after="0" w:line="240" w:lineRule="auto"/>
        <w:jc w:val="center"/>
        <w:rPr>
          <w:i/>
          <w:iCs/>
        </w:rPr>
      </w:pPr>
      <w:r w:rsidRPr="00D5145A">
        <w:rPr>
          <w:b/>
          <w:bCs/>
          <w:sz w:val="24"/>
          <w:szCs w:val="24"/>
        </w:rPr>
        <w:t>Citi Launches Sustainability-linked Supply Chain Financing in Asia Pacific</w:t>
      </w:r>
      <w:r w:rsidRPr="00D5145A">
        <w:rPr>
          <w:b/>
          <w:bCs/>
        </w:rPr>
        <w:br/>
      </w:r>
      <w:r w:rsidRPr="00D5145A">
        <w:rPr>
          <w:i/>
          <w:iCs/>
        </w:rPr>
        <w:t xml:space="preserve">Through Citi’s latest offering, the bank will support clients as they advance their </w:t>
      </w:r>
    </w:p>
    <w:p w14:paraId="70359B53" w14:textId="46831314" w:rsidR="00D5145A" w:rsidRDefault="00D5145A" w:rsidP="00D5145A">
      <w:pPr>
        <w:spacing w:after="0" w:line="240" w:lineRule="auto"/>
        <w:jc w:val="center"/>
        <w:rPr>
          <w:i/>
          <w:iCs/>
        </w:rPr>
      </w:pPr>
      <w:r w:rsidRPr="00D5145A">
        <w:rPr>
          <w:i/>
          <w:iCs/>
        </w:rPr>
        <w:t>ESG priorities and improve the resilience of their supply chains</w:t>
      </w:r>
    </w:p>
    <w:p w14:paraId="6B4712CE" w14:textId="77777777" w:rsidR="00D5145A" w:rsidRPr="00D5145A" w:rsidRDefault="00D5145A" w:rsidP="00D5145A">
      <w:pPr>
        <w:spacing w:after="0" w:line="240" w:lineRule="auto"/>
        <w:jc w:val="center"/>
        <w:rPr>
          <w:i/>
          <w:iCs/>
        </w:rPr>
      </w:pPr>
    </w:p>
    <w:p w14:paraId="5394B47D" w14:textId="6816FD67" w:rsidR="00D5145A" w:rsidRDefault="00D5145A" w:rsidP="00D5145A">
      <w:pPr>
        <w:spacing w:after="0" w:line="240" w:lineRule="auto"/>
        <w:jc w:val="both"/>
      </w:pPr>
      <w:r w:rsidRPr="00D5145A">
        <w:t>Hong Kong – Citi has launched its first Sustainability-linked Supply Chain Finance (SSCF) program in Asia Pacific with the aim of supporting clients a</w:t>
      </w:r>
      <w:bookmarkStart w:id="0" w:name="_GoBack"/>
      <w:bookmarkEnd w:id="0"/>
      <w:r w:rsidRPr="00D5145A">
        <w:t xml:space="preserve">s they advance their ESG priorities, improve the resilience of their supply chains and manage their working capital needs.  </w:t>
      </w:r>
    </w:p>
    <w:p w14:paraId="1C1BAE62" w14:textId="77777777" w:rsidR="00D5145A" w:rsidRPr="00D5145A" w:rsidRDefault="00D5145A" w:rsidP="00D5145A">
      <w:pPr>
        <w:spacing w:after="0" w:line="240" w:lineRule="auto"/>
        <w:jc w:val="both"/>
      </w:pPr>
    </w:p>
    <w:p w14:paraId="0ADD0AA3" w14:textId="6CFDA1B1" w:rsidR="00D5145A" w:rsidRDefault="00D5145A" w:rsidP="00D5145A">
      <w:pPr>
        <w:spacing w:after="0" w:line="240" w:lineRule="auto"/>
        <w:jc w:val="both"/>
      </w:pPr>
      <w:r w:rsidRPr="00D5145A">
        <w:t>Supply Chain Finance (SCF) programs benefit companies and their suppliers as they prioritize their working capital positions respectively. In using Citi’s SCF program, for example, the bank would provide financing to a client’s suppliers from the date of collection of specific goods/provision of services to the date on which payment is owed to these suppliers. The cost of this financing is borne by suppliers at a rate lower than their usual cost of funds. As a result, suppliers benefit from cash flow acceleration, quicker payment and improved financing costs.</w:t>
      </w:r>
    </w:p>
    <w:p w14:paraId="5930F710" w14:textId="77777777" w:rsidR="00D5145A" w:rsidRPr="00D5145A" w:rsidRDefault="00D5145A" w:rsidP="00D5145A">
      <w:pPr>
        <w:spacing w:after="0" w:line="240" w:lineRule="auto"/>
        <w:jc w:val="both"/>
      </w:pPr>
    </w:p>
    <w:p w14:paraId="5CEDBFEB" w14:textId="18FC7D5B" w:rsidR="00D5145A" w:rsidRDefault="00D5145A" w:rsidP="00D5145A">
      <w:pPr>
        <w:spacing w:after="0" w:line="240" w:lineRule="auto"/>
        <w:jc w:val="both"/>
      </w:pPr>
      <w:r w:rsidRPr="00D5145A">
        <w:t xml:space="preserve">Citi’s first SSCF program has been implemented for German chemical and consumer goods company, Henkel. The program was first launched with suppliers in Australia and will be expanded to include suppliers in additional markets over the coming weeks. </w:t>
      </w:r>
    </w:p>
    <w:p w14:paraId="2961BAF7" w14:textId="77777777" w:rsidR="00D5145A" w:rsidRPr="00D5145A" w:rsidRDefault="00D5145A" w:rsidP="00D5145A">
      <w:pPr>
        <w:spacing w:after="0" w:line="240" w:lineRule="auto"/>
        <w:jc w:val="both"/>
      </w:pPr>
    </w:p>
    <w:p w14:paraId="27E876C2" w14:textId="254E6455" w:rsidR="00D5145A" w:rsidRDefault="00D5145A" w:rsidP="00D5145A">
      <w:pPr>
        <w:spacing w:after="0" w:line="240" w:lineRule="auto"/>
        <w:jc w:val="both"/>
      </w:pPr>
      <w:r w:rsidRPr="00D5145A">
        <w:t xml:space="preserve">The program is also a first for Henkel in Asia Pacific and is targeted at existing or new suppliers who demonstrate strong or improving sustainability performance. Qualifying suppliers can access Citi’s supply chain financing at preferential rates on a tiered basis with rates improving as a supplier’s sustainability score improves. Henkel, with the support of a global leading sustainability assessment agency, will assess the sustainability performance of suppliers. </w:t>
      </w:r>
    </w:p>
    <w:p w14:paraId="4B6BD91C" w14:textId="77777777" w:rsidR="00D5145A" w:rsidRPr="00D5145A" w:rsidRDefault="00D5145A" w:rsidP="00D5145A">
      <w:pPr>
        <w:spacing w:after="0" w:line="240" w:lineRule="auto"/>
        <w:jc w:val="both"/>
      </w:pPr>
    </w:p>
    <w:p w14:paraId="1C20C8E5" w14:textId="0374E4E9" w:rsidR="00D5145A" w:rsidRDefault="00D5145A" w:rsidP="00D5145A">
      <w:pPr>
        <w:spacing w:after="0" w:line="240" w:lineRule="auto"/>
        <w:jc w:val="both"/>
      </w:pPr>
      <w:r w:rsidRPr="00D5145A">
        <w:t>“Sustainability is at the heart of Henkel’s strategic priorities. We are convinced that sustainability-linked supply chain financing can help improve</w:t>
      </w:r>
      <w:r w:rsidRPr="00D5145A">
        <w:rPr>
          <w:color w:val="FF0000"/>
        </w:rPr>
        <w:t xml:space="preserve"> </w:t>
      </w:r>
      <w:r w:rsidRPr="00D5145A">
        <w:t xml:space="preserve">sustainability across Henkel’s large supplier ecosystem in </w:t>
      </w:r>
      <w:r w:rsidRPr="00D5145A">
        <w:rPr>
          <w:lang w:eastAsia="zh-CN"/>
        </w:rPr>
        <w:t>Asia Pacific,” said Christoph Wenner, Henkel Regional Head of Finance, Asia Pacific. “This program demonstrates Henkel’s commitment to creating a virtuous cycle of economic, environmental and social value.”</w:t>
      </w:r>
      <w:r w:rsidRPr="00D5145A">
        <w:t xml:space="preserve"> </w:t>
      </w:r>
    </w:p>
    <w:p w14:paraId="367E7B0A" w14:textId="77777777" w:rsidR="00D5145A" w:rsidRPr="00D5145A" w:rsidRDefault="00D5145A" w:rsidP="00D5145A">
      <w:pPr>
        <w:spacing w:after="0" w:line="240" w:lineRule="auto"/>
        <w:jc w:val="both"/>
      </w:pPr>
    </w:p>
    <w:p w14:paraId="30C7B98E" w14:textId="1AD5A875" w:rsidR="00D5145A" w:rsidRDefault="00D5145A" w:rsidP="00D5145A">
      <w:pPr>
        <w:spacing w:after="0" w:line="240" w:lineRule="auto"/>
        <w:jc w:val="both"/>
      </w:pPr>
      <w:r w:rsidRPr="00D5145A">
        <w:t>Citi’s SSCF program in Asia Pacific aligns with the bank’s ESG commitments.  To help accelerate the transition to a global low-carbon economy, Citi launched its updated Sustainable Progress Strategy in July of last year, which includes its global US$500 Billion Environmental Finance Goal. Citi also recently established a commitment to US$1 trillion in sustainable finance by 2030, which includes the</w:t>
      </w:r>
      <w:r w:rsidR="00D719B6">
        <w:t xml:space="preserve"> environmental finance goal and</w:t>
      </w:r>
      <w:r w:rsidRPr="00D5145A">
        <w:t xml:space="preserve"> a US$500 Billion Social Finance Goal. </w:t>
      </w:r>
    </w:p>
    <w:p w14:paraId="7C394333" w14:textId="3BD3F656" w:rsidR="00D5145A" w:rsidRDefault="00D5145A" w:rsidP="00D5145A">
      <w:pPr>
        <w:spacing w:after="0" w:line="240" w:lineRule="auto"/>
        <w:jc w:val="both"/>
      </w:pPr>
    </w:p>
    <w:p w14:paraId="4D9E0FFE" w14:textId="43D85971" w:rsidR="00D5145A" w:rsidRDefault="00D5145A" w:rsidP="00D5145A">
      <w:pPr>
        <w:spacing w:after="0" w:line="240" w:lineRule="auto"/>
        <w:jc w:val="both"/>
      </w:pPr>
    </w:p>
    <w:p w14:paraId="5DEC198B" w14:textId="459CCD00" w:rsidR="00D5145A" w:rsidRDefault="00D5145A" w:rsidP="00D5145A">
      <w:pPr>
        <w:spacing w:after="0" w:line="240" w:lineRule="auto"/>
        <w:jc w:val="both"/>
      </w:pPr>
    </w:p>
    <w:p w14:paraId="2B715B3C" w14:textId="36C5C54B" w:rsidR="00D5145A" w:rsidRDefault="00D5145A" w:rsidP="00D5145A">
      <w:pPr>
        <w:spacing w:after="0" w:line="240" w:lineRule="auto"/>
        <w:jc w:val="both"/>
      </w:pPr>
    </w:p>
    <w:p w14:paraId="5C2EA66F" w14:textId="04B3E883" w:rsidR="00D5145A" w:rsidRDefault="00D5145A" w:rsidP="00D5145A">
      <w:pPr>
        <w:spacing w:after="0" w:line="240" w:lineRule="auto"/>
        <w:jc w:val="both"/>
      </w:pPr>
    </w:p>
    <w:p w14:paraId="04EBAA8E" w14:textId="77777777" w:rsidR="00D5145A" w:rsidRPr="00D5145A" w:rsidRDefault="00D5145A" w:rsidP="00D5145A">
      <w:pPr>
        <w:spacing w:after="0" w:line="240" w:lineRule="auto"/>
        <w:jc w:val="both"/>
      </w:pPr>
    </w:p>
    <w:p w14:paraId="7926578C" w14:textId="3BFEB34F" w:rsidR="00D5145A" w:rsidRDefault="00D5145A" w:rsidP="00D5145A">
      <w:pPr>
        <w:spacing w:after="0" w:line="240" w:lineRule="auto"/>
        <w:jc w:val="both"/>
      </w:pPr>
      <w:r w:rsidRPr="00D5145A">
        <w:t xml:space="preserve">“We are proud to be collaborating </w:t>
      </w:r>
      <w:r w:rsidRPr="00D5145A">
        <w:rPr>
          <w:lang w:eastAsia="zh-CN"/>
        </w:rPr>
        <w:t>with</w:t>
      </w:r>
      <w:r w:rsidRPr="00D5145A">
        <w:t xml:space="preserve"> Henkel in this first for Citi in Asia Pacific. Like Henkel, our ESG commitments are an essential part of our firm’s strategy and these commitments are deeply integrated into our business and long-term priorities,” said Ernesto Pittaluga, </w:t>
      </w:r>
      <w:r w:rsidR="00F56C42">
        <w:t xml:space="preserve">Asia Pacific Corporate, Commercial and Public Sector Sales Head, Treasury and Trade Solutions, Citi. </w:t>
      </w:r>
      <w:r w:rsidRPr="00D5145A">
        <w:t xml:space="preserve"> “We are committed to introducing new and innovative ESG-linked solutions for our clients in Asia Pacific and look forward to expanding the use of our SSCF program in the region.” </w:t>
      </w:r>
    </w:p>
    <w:p w14:paraId="53013406" w14:textId="162FAEED" w:rsidR="00D5145A" w:rsidRDefault="00D5145A" w:rsidP="00945BA1">
      <w:pPr>
        <w:pStyle w:val="Default"/>
        <w:rPr>
          <w:color w:val="auto"/>
          <w:sz w:val="22"/>
          <w:szCs w:val="22"/>
        </w:rPr>
      </w:pPr>
    </w:p>
    <w:p w14:paraId="3E5676F1" w14:textId="77777777" w:rsidR="00D719B6" w:rsidRDefault="00D719B6" w:rsidP="00945BA1">
      <w:pPr>
        <w:pStyle w:val="Default"/>
        <w:rPr>
          <w:sz w:val="22"/>
          <w:szCs w:val="22"/>
        </w:rPr>
      </w:pPr>
    </w:p>
    <w:p w14:paraId="6ACFE6CA" w14:textId="249E981F" w:rsidR="00461950" w:rsidRPr="00461950" w:rsidRDefault="00995455" w:rsidP="00FE0106">
      <w:pPr>
        <w:pStyle w:val="ExplanatoryText"/>
        <w:jc w:val="center"/>
        <w:rPr>
          <w:rStyle w:val="Strong"/>
          <w:rFonts w:asciiTheme="minorHAnsi" w:eastAsiaTheme="minorHAnsi" w:hAnsiTheme="minorHAnsi" w:cstheme="minorHAnsi"/>
          <w:b w:val="0"/>
          <w:color w:val="auto"/>
          <w:sz w:val="22"/>
          <w:szCs w:val="22"/>
          <w:lang w:val="en"/>
        </w:rPr>
      </w:pPr>
      <w:r>
        <w:rPr>
          <w:rStyle w:val="Strong"/>
          <w:rFonts w:asciiTheme="minorHAnsi" w:hAnsiTheme="minorHAnsi" w:cstheme="minorHAnsi"/>
          <w:b w:val="0"/>
          <w:color w:val="auto"/>
          <w:sz w:val="22"/>
          <w:szCs w:val="22"/>
          <w:lang w:val="en"/>
        </w:rPr>
        <w:t>#</w:t>
      </w:r>
      <w:r w:rsidR="003B730F">
        <w:rPr>
          <w:rStyle w:val="Strong"/>
          <w:rFonts w:asciiTheme="minorHAnsi" w:hAnsiTheme="minorHAnsi" w:cstheme="minorHAnsi"/>
          <w:b w:val="0"/>
          <w:color w:val="auto"/>
          <w:sz w:val="22"/>
          <w:szCs w:val="22"/>
          <w:lang w:val="en"/>
        </w:rPr>
        <w:t>##</w:t>
      </w:r>
    </w:p>
    <w:p w14:paraId="44D5B850" w14:textId="77777777" w:rsidR="00F71598" w:rsidRDefault="00F71598" w:rsidP="00945BA1">
      <w:pPr>
        <w:pStyle w:val="Default"/>
        <w:rPr>
          <w:color w:val="auto"/>
          <w:sz w:val="22"/>
          <w:szCs w:val="22"/>
        </w:rPr>
      </w:pPr>
    </w:p>
    <w:p w14:paraId="3953B4E2" w14:textId="77777777" w:rsidR="00EA42DB" w:rsidRDefault="00EA42DB" w:rsidP="00EA42DB">
      <w:pPr>
        <w:pStyle w:val="Default"/>
        <w:rPr>
          <w:b/>
          <w:bCs/>
          <w:color w:val="auto"/>
          <w:sz w:val="20"/>
          <w:szCs w:val="20"/>
        </w:rPr>
      </w:pPr>
    </w:p>
    <w:p w14:paraId="76A70721" w14:textId="2C4A4C09" w:rsidR="00EA42DB" w:rsidRPr="0068534C" w:rsidRDefault="00EA42DB" w:rsidP="00EA42DB">
      <w:pPr>
        <w:pStyle w:val="Default"/>
        <w:rPr>
          <w:color w:val="auto"/>
          <w:sz w:val="20"/>
          <w:szCs w:val="20"/>
        </w:rPr>
      </w:pPr>
      <w:r w:rsidRPr="0068534C">
        <w:rPr>
          <w:b/>
          <w:bCs/>
          <w:color w:val="auto"/>
          <w:sz w:val="20"/>
          <w:szCs w:val="20"/>
        </w:rPr>
        <w:t xml:space="preserve">About Citi’s Treasury and Trade Solutions </w:t>
      </w:r>
    </w:p>
    <w:p w14:paraId="00C98357" w14:textId="77777777" w:rsidR="00EA42DB" w:rsidRPr="0068534C" w:rsidRDefault="00EA42DB" w:rsidP="00EA42DB">
      <w:pPr>
        <w:pStyle w:val="Default"/>
        <w:jc w:val="both"/>
        <w:rPr>
          <w:color w:val="auto"/>
          <w:sz w:val="20"/>
          <w:szCs w:val="20"/>
        </w:rPr>
      </w:pPr>
      <w:r w:rsidRPr="0068534C">
        <w:rPr>
          <w:color w:val="auto"/>
          <w:sz w:val="20"/>
          <w:szCs w:val="20"/>
        </w:rPr>
        <w:t xml:space="preserve">Citi Treasury and Trade Solutions (TTS) enables our clients' success by providing an integrated suite of innovative and tailored cash management and trade finance services to multinational corporations, financial institutions and public sector organizations across the globe. Based on the foundation of the industry's largest proprietary network with banking licenses in over 90 countries and globally integrated technology platforms, TTS continues to lead the way in offering the industry's most comprehensive range of digitally enabled treasury, trade and liquidity management solutions. </w:t>
      </w:r>
    </w:p>
    <w:p w14:paraId="1C819D83" w14:textId="77777777" w:rsidR="00EA42DB" w:rsidRPr="0068534C" w:rsidRDefault="00EA42DB" w:rsidP="00995455">
      <w:pPr>
        <w:spacing w:after="0" w:line="240" w:lineRule="auto"/>
        <w:jc w:val="both"/>
        <w:rPr>
          <w:rStyle w:val="Strong"/>
          <w:color w:val="000000"/>
          <w:sz w:val="20"/>
          <w:szCs w:val="20"/>
          <w:bdr w:val="none" w:sz="0" w:space="0" w:color="auto" w:frame="1"/>
          <w:shd w:val="clear" w:color="auto" w:fill="FFFFFF"/>
        </w:rPr>
      </w:pPr>
    </w:p>
    <w:p w14:paraId="7F81C440" w14:textId="77777777" w:rsidR="00EA42DB" w:rsidRPr="0068534C" w:rsidRDefault="00EA42DB" w:rsidP="00995455">
      <w:pPr>
        <w:spacing w:after="0" w:line="240" w:lineRule="auto"/>
        <w:jc w:val="both"/>
        <w:rPr>
          <w:rStyle w:val="Strong"/>
          <w:color w:val="000000"/>
          <w:sz w:val="20"/>
          <w:szCs w:val="20"/>
          <w:bdr w:val="none" w:sz="0" w:space="0" w:color="auto" w:frame="1"/>
          <w:shd w:val="clear" w:color="auto" w:fill="FFFFFF"/>
        </w:rPr>
      </w:pPr>
    </w:p>
    <w:p w14:paraId="62F820AE" w14:textId="10754FC4" w:rsidR="00995455" w:rsidRPr="0068534C" w:rsidRDefault="00995455" w:rsidP="00995455">
      <w:pPr>
        <w:spacing w:after="0" w:line="240" w:lineRule="auto"/>
        <w:jc w:val="both"/>
        <w:rPr>
          <w:rStyle w:val="Strong"/>
          <w:color w:val="000000"/>
          <w:sz w:val="20"/>
          <w:szCs w:val="20"/>
          <w:bdr w:val="none" w:sz="0" w:space="0" w:color="auto" w:frame="1"/>
          <w:shd w:val="clear" w:color="auto" w:fill="FFFFFF"/>
        </w:rPr>
      </w:pPr>
      <w:r w:rsidRPr="0068534C">
        <w:rPr>
          <w:rStyle w:val="Strong"/>
          <w:color w:val="000000"/>
          <w:sz w:val="20"/>
          <w:szCs w:val="20"/>
          <w:bdr w:val="none" w:sz="0" w:space="0" w:color="auto" w:frame="1"/>
          <w:shd w:val="clear" w:color="auto" w:fill="FFFFFF"/>
        </w:rPr>
        <w:t xml:space="preserve">About Citi </w:t>
      </w:r>
    </w:p>
    <w:p w14:paraId="640AA939" w14:textId="77777777" w:rsidR="00995455" w:rsidRPr="0068534C" w:rsidRDefault="00995455" w:rsidP="00995455">
      <w:pPr>
        <w:spacing w:after="0" w:line="240" w:lineRule="auto"/>
        <w:jc w:val="both"/>
        <w:rPr>
          <w:rStyle w:val="Strong"/>
          <w:b w:val="0"/>
          <w:color w:val="000000"/>
          <w:sz w:val="20"/>
          <w:szCs w:val="20"/>
          <w:bdr w:val="none" w:sz="0" w:space="0" w:color="auto" w:frame="1"/>
          <w:shd w:val="clear" w:color="auto" w:fill="FFFFFF"/>
        </w:rPr>
      </w:pPr>
      <w:r w:rsidRPr="0068534C">
        <w:rPr>
          <w:rStyle w:val="Strong"/>
          <w:b w:val="0"/>
          <w:color w:val="000000"/>
          <w:sz w:val="20"/>
          <w:szCs w:val="20"/>
          <w:bdr w:val="none" w:sz="0" w:space="0" w:color="auto" w:frame="1"/>
          <w:shd w:val="clear" w:color="auto" w:fill="FFFFFF"/>
        </w:rPr>
        <w:t>Citi, the leading global bank, has approximately 200 million customer accounts and does business in more than 160 countries and jurisdictions. Citi provides consumers, corporations, governments and institutions with a broad range of financial products and services, including consumer banking and credit, corporate and investment banking, securities brokerage, transaction services, and wealth management.</w:t>
      </w:r>
    </w:p>
    <w:p w14:paraId="080ACCC6" w14:textId="77777777" w:rsidR="00995455" w:rsidRPr="0068534C" w:rsidRDefault="00995455" w:rsidP="00995455">
      <w:pPr>
        <w:spacing w:after="0" w:line="240" w:lineRule="auto"/>
        <w:jc w:val="both"/>
        <w:rPr>
          <w:rStyle w:val="Strong"/>
          <w:b w:val="0"/>
          <w:color w:val="000000"/>
          <w:sz w:val="20"/>
          <w:szCs w:val="20"/>
          <w:bdr w:val="none" w:sz="0" w:space="0" w:color="auto" w:frame="1"/>
          <w:shd w:val="clear" w:color="auto" w:fill="FFFFFF"/>
        </w:rPr>
      </w:pPr>
    </w:p>
    <w:p w14:paraId="215E6BF9" w14:textId="77777777" w:rsidR="00995455" w:rsidRPr="0068534C" w:rsidRDefault="00995455" w:rsidP="00995455">
      <w:pPr>
        <w:spacing w:after="0" w:line="240" w:lineRule="auto"/>
        <w:jc w:val="both"/>
        <w:rPr>
          <w:rStyle w:val="Strong"/>
          <w:b w:val="0"/>
          <w:color w:val="000000"/>
          <w:sz w:val="20"/>
          <w:szCs w:val="20"/>
          <w:bdr w:val="none" w:sz="0" w:space="0" w:color="auto" w:frame="1"/>
          <w:shd w:val="clear" w:color="auto" w:fill="FFFFFF"/>
        </w:rPr>
      </w:pPr>
      <w:r w:rsidRPr="0068534C">
        <w:rPr>
          <w:rStyle w:val="Strong"/>
          <w:b w:val="0"/>
          <w:color w:val="000000"/>
          <w:sz w:val="20"/>
          <w:szCs w:val="20"/>
          <w:bdr w:val="none" w:sz="0" w:space="0" w:color="auto" w:frame="1"/>
          <w:shd w:val="clear" w:color="auto" w:fill="FFFFFF"/>
        </w:rPr>
        <w:t xml:space="preserve">Additional information may be found at www.citigroup.com | Twitter: @Citi | YouTube: www.youtube.com/citi | Blog: http://blog.citigroup.com | Facebook: www.facebook.com/citi | LinkedIn: </w:t>
      </w:r>
      <w:hyperlink r:id="rId12" w:history="1">
        <w:r w:rsidRPr="0068534C">
          <w:rPr>
            <w:rStyle w:val="Hyperlink"/>
            <w:sz w:val="20"/>
            <w:szCs w:val="20"/>
            <w:bdr w:val="none" w:sz="0" w:space="0" w:color="auto" w:frame="1"/>
            <w:shd w:val="clear" w:color="auto" w:fill="FFFFFF"/>
          </w:rPr>
          <w:t>www.linkedin.com/company/citi</w:t>
        </w:r>
      </w:hyperlink>
      <w:r w:rsidRPr="0068534C">
        <w:rPr>
          <w:rStyle w:val="Strong"/>
          <w:color w:val="000000"/>
          <w:sz w:val="20"/>
          <w:szCs w:val="20"/>
          <w:bdr w:val="none" w:sz="0" w:space="0" w:color="auto" w:frame="1"/>
          <w:shd w:val="clear" w:color="auto" w:fill="FFFFFF"/>
        </w:rPr>
        <w:t>.</w:t>
      </w:r>
    </w:p>
    <w:p w14:paraId="06BEDB85" w14:textId="61C23ABD" w:rsidR="00995455" w:rsidRDefault="00995455" w:rsidP="00995455">
      <w:pPr>
        <w:pStyle w:val="Default"/>
        <w:rPr>
          <w:color w:val="auto"/>
          <w:sz w:val="20"/>
          <w:szCs w:val="20"/>
        </w:rPr>
      </w:pPr>
    </w:p>
    <w:p w14:paraId="73545546" w14:textId="77777777" w:rsidR="0068534C" w:rsidRPr="00995455" w:rsidRDefault="0068534C" w:rsidP="00995455">
      <w:pPr>
        <w:pStyle w:val="Default"/>
        <w:rPr>
          <w:color w:val="auto"/>
          <w:sz w:val="20"/>
          <w:szCs w:val="20"/>
        </w:rPr>
      </w:pPr>
    </w:p>
    <w:p w14:paraId="4AE21946" w14:textId="78D780FC" w:rsidR="00FA3208" w:rsidRPr="00995455" w:rsidRDefault="00945BA1" w:rsidP="00995455">
      <w:pPr>
        <w:pStyle w:val="Text"/>
        <w:spacing w:after="0" w:line="240" w:lineRule="auto"/>
        <w:rPr>
          <w:b/>
          <w:bCs/>
          <w:sz w:val="20"/>
          <w:szCs w:val="20"/>
        </w:rPr>
      </w:pPr>
      <w:r w:rsidRPr="00995455">
        <w:rPr>
          <w:b/>
          <w:bCs/>
          <w:sz w:val="20"/>
          <w:szCs w:val="20"/>
        </w:rPr>
        <w:t>Media Contact</w:t>
      </w:r>
    </w:p>
    <w:p w14:paraId="277991AE" w14:textId="6185559A" w:rsidR="00CE102C" w:rsidRPr="00995455" w:rsidRDefault="00CE102C" w:rsidP="00995455">
      <w:pPr>
        <w:pStyle w:val="Text"/>
        <w:spacing w:after="0" w:line="240" w:lineRule="auto"/>
        <w:rPr>
          <w:sz w:val="20"/>
          <w:szCs w:val="20"/>
        </w:rPr>
      </w:pPr>
      <w:r w:rsidRPr="00995455">
        <w:rPr>
          <w:sz w:val="20"/>
          <w:szCs w:val="20"/>
        </w:rPr>
        <w:t xml:space="preserve">Harsha Jethnani    </w:t>
      </w:r>
      <w:r w:rsidR="00763A10">
        <w:rPr>
          <w:sz w:val="20"/>
          <w:szCs w:val="20"/>
        </w:rPr>
        <w:t xml:space="preserve">     </w:t>
      </w:r>
      <w:r w:rsidR="0068534C">
        <w:rPr>
          <w:sz w:val="20"/>
          <w:szCs w:val="20"/>
        </w:rPr>
        <w:tab/>
      </w:r>
      <w:r w:rsidR="0068534C">
        <w:rPr>
          <w:sz w:val="20"/>
          <w:szCs w:val="20"/>
        </w:rPr>
        <w:tab/>
      </w:r>
      <w:r w:rsidR="00763A10">
        <w:rPr>
          <w:sz w:val="20"/>
          <w:szCs w:val="20"/>
        </w:rPr>
        <w:t>(852) 2868 7738</w:t>
      </w:r>
      <w:r w:rsidRPr="00995455">
        <w:rPr>
          <w:sz w:val="20"/>
          <w:szCs w:val="20"/>
        </w:rPr>
        <w:tab/>
      </w:r>
      <w:r w:rsidR="0068534C">
        <w:rPr>
          <w:sz w:val="20"/>
          <w:szCs w:val="20"/>
        </w:rPr>
        <w:tab/>
      </w:r>
      <w:hyperlink r:id="rId13" w:history="1">
        <w:r w:rsidR="00365E53" w:rsidRPr="0069394D">
          <w:rPr>
            <w:rStyle w:val="Hyperlink"/>
            <w:sz w:val="20"/>
            <w:szCs w:val="20"/>
          </w:rPr>
          <w:t>harsha.jethnani@citi.com</w:t>
        </w:r>
      </w:hyperlink>
    </w:p>
    <w:p w14:paraId="025DFDBB" w14:textId="54038E5E" w:rsidR="002241F6" w:rsidRPr="00995455" w:rsidRDefault="00CE102C" w:rsidP="00995455">
      <w:pPr>
        <w:pStyle w:val="Text"/>
        <w:spacing w:after="0" w:line="240" w:lineRule="auto"/>
        <w:rPr>
          <w:b/>
          <w:bCs/>
          <w:sz w:val="20"/>
          <w:szCs w:val="20"/>
        </w:rPr>
      </w:pPr>
      <w:r w:rsidRPr="00995455">
        <w:rPr>
          <w:sz w:val="20"/>
          <w:szCs w:val="20"/>
        </w:rPr>
        <w:t xml:space="preserve">       </w:t>
      </w:r>
    </w:p>
    <w:p w14:paraId="4882E6DE" w14:textId="77777777" w:rsidR="002241F6" w:rsidRPr="00945BA1" w:rsidRDefault="002241F6">
      <w:pPr>
        <w:pStyle w:val="Text"/>
      </w:pPr>
    </w:p>
    <w:sectPr w:rsidR="002241F6" w:rsidRPr="00945BA1" w:rsidSect="0068534C">
      <w:footerReference w:type="default" r:id="rId14"/>
      <w:pgSz w:w="12240" w:h="15840"/>
      <w:pgMar w:top="1530" w:right="126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BEB4" w14:textId="77777777" w:rsidR="003A72C9" w:rsidRDefault="003A72C9" w:rsidP="00945BA1">
      <w:pPr>
        <w:spacing w:after="0" w:line="240" w:lineRule="auto"/>
      </w:pPr>
      <w:r>
        <w:separator/>
      </w:r>
    </w:p>
  </w:endnote>
  <w:endnote w:type="continuationSeparator" w:id="0">
    <w:p w14:paraId="5A8B72B9" w14:textId="77777777" w:rsidR="003A72C9" w:rsidRDefault="003A72C9" w:rsidP="0094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CC24" w14:textId="23DB0B96" w:rsidR="00806F7C" w:rsidRDefault="00806F7C" w:rsidP="00806F7C">
    <w:pPr>
      <w:pStyle w:val="Footer"/>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C87AE5">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C87AE5">
      <w:rPr>
        <w:noProof/>
        <w:sz w:val="20"/>
        <w:szCs w:val="20"/>
      </w:rPr>
      <w:t>2</w:t>
    </w:r>
    <w:r>
      <w:rPr>
        <w:sz w:val="20"/>
        <w:szCs w:val="20"/>
      </w:rPr>
      <w:fldChar w:fldCharType="end"/>
    </w:r>
  </w:p>
  <w:p w14:paraId="1F906B8E" w14:textId="77777777" w:rsidR="00806F7C" w:rsidRDefault="0080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05FB" w14:textId="77777777" w:rsidR="003A72C9" w:rsidRDefault="003A72C9" w:rsidP="00945BA1">
      <w:pPr>
        <w:spacing w:after="0" w:line="240" w:lineRule="auto"/>
      </w:pPr>
      <w:r>
        <w:separator/>
      </w:r>
    </w:p>
  </w:footnote>
  <w:footnote w:type="continuationSeparator" w:id="0">
    <w:p w14:paraId="136E4470" w14:textId="77777777" w:rsidR="003A72C9" w:rsidRDefault="003A72C9" w:rsidP="0094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6CE"/>
    <w:multiLevelType w:val="hybridMultilevel"/>
    <w:tmpl w:val="D486D9D6"/>
    <w:lvl w:ilvl="0" w:tplc="7EAE35B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E973C2"/>
    <w:multiLevelType w:val="hybridMultilevel"/>
    <w:tmpl w:val="629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Format" w:val=" "/>
    <w:docVar w:name="AppendixSeparator" w:val=" "/>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Letter"/>
    <w:docVar w:name="ResetDate" w:val=" "/>
    <w:docVar w:name="RightHeader" w:val="Confidential"/>
    <w:docVar w:name="StartingPageNumber" w:val="1"/>
    <w:docVar w:name="StartingTopicLevel" w:val="1"/>
    <w:docVar w:name="Styleset" w:val="CMB Portrait"/>
    <w:docVar w:name="TopicLevel1Format" w:val="arabic"/>
    <w:docVar w:name="TopicLevel1Separator" w:val="."/>
    <w:docVar w:name="TopicLevel2Format" w:val="ALPHABETIC"/>
    <w:docVar w:name="TopicLevel2Separator" w:val="."/>
    <w:docVar w:name="TopicLevel3Format" w:val="alphabetic"/>
    <w:docVar w:name="TopicLevel3Separator" w:val="."/>
    <w:docVar w:name="TopicLevelCount" w:val="0"/>
  </w:docVars>
  <w:rsids>
    <w:rsidRoot w:val="00945BA1"/>
    <w:rsid w:val="00023D8D"/>
    <w:rsid w:val="00064C12"/>
    <w:rsid w:val="00094051"/>
    <w:rsid w:val="000972D3"/>
    <w:rsid w:val="000A25D9"/>
    <w:rsid w:val="000B40C0"/>
    <w:rsid w:val="000C2B58"/>
    <w:rsid w:val="000C398A"/>
    <w:rsid w:val="000F6246"/>
    <w:rsid w:val="001373EC"/>
    <w:rsid w:val="0014739A"/>
    <w:rsid w:val="001770BE"/>
    <w:rsid w:val="001A4CDC"/>
    <w:rsid w:val="002113AA"/>
    <w:rsid w:val="002241F6"/>
    <w:rsid w:val="00233230"/>
    <w:rsid w:val="00253C78"/>
    <w:rsid w:val="002644B3"/>
    <w:rsid w:val="0028753B"/>
    <w:rsid w:val="002B720B"/>
    <w:rsid w:val="00311B6A"/>
    <w:rsid w:val="00320622"/>
    <w:rsid w:val="00365E53"/>
    <w:rsid w:val="003722AA"/>
    <w:rsid w:val="00382549"/>
    <w:rsid w:val="00394439"/>
    <w:rsid w:val="003A72C9"/>
    <w:rsid w:val="003B1CA1"/>
    <w:rsid w:val="003B4758"/>
    <w:rsid w:val="003B730F"/>
    <w:rsid w:val="003D5385"/>
    <w:rsid w:val="00406264"/>
    <w:rsid w:val="004206A1"/>
    <w:rsid w:val="00436268"/>
    <w:rsid w:val="00442D16"/>
    <w:rsid w:val="00461950"/>
    <w:rsid w:val="00487F82"/>
    <w:rsid w:val="004C27BB"/>
    <w:rsid w:val="004E12C9"/>
    <w:rsid w:val="005205C0"/>
    <w:rsid w:val="005230BB"/>
    <w:rsid w:val="005341A4"/>
    <w:rsid w:val="00545094"/>
    <w:rsid w:val="00545411"/>
    <w:rsid w:val="00547F49"/>
    <w:rsid w:val="005755EA"/>
    <w:rsid w:val="00604886"/>
    <w:rsid w:val="006206B8"/>
    <w:rsid w:val="00673509"/>
    <w:rsid w:val="0068534C"/>
    <w:rsid w:val="006C25A9"/>
    <w:rsid w:val="006E4233"/>
    <w:rsid w:val="006E4ACA"/>
    <w:rsid w:val="007041AE"/>
    <w:rsid w:val="00711B5F"/>
    <w:rsid w:val="00734DD2"/>
    <w:rsid w:val="0074129C"/>
    <w:rsid w:val="00741FD8"/>
    <w:rsid w:val="00750B88"/>
    <w:rsid w:val="007528E3"/>
    <w:rsid w:val="00763A10"/>
    <w:rsid w:val="007B74FD"/>
    <w:rsid w:val="007B7ED2"/>
    <w:rsid w:val="007F5EEF"/>
    <w:rsid w:val="00806F7C"/>
    <w:rsid w:val="00825CF2"/>
    <w:rsid w:val="008343DA"/>
    <w:rsid w:val="008B07CB"/>
    <w:rsid w:val="008B441E"/>
    <w:rsid w:val="008D12C0"/>
    <w:rsid w:val="009118A5"/>
    <w:rsid w:val="0091259F"/>
    <w:rsid w:val="00914B7B"/>
    <w:rsid w:val="00930ED8"/>
    <w:rsid w:val="00945BA1"/>
    <w:rsid w:val="00995455"/>
    <w:rsid w:val="009A678B"/>
    <w:rsid w:val="009A6ECF"/>
    <w:rsid w:val="009D15A2"/>
    <w:rsid w:val="009E576B"/>
    <w:rsid w:val="009E5B73"/>
    <w:rsid w:val="009F700E"/>
    <w:rsid w:val="00A063DF"/>
    <w:rsid w:val="00A2001E"/>
    <w:rsid w:val="00A4050D"/>
    <w:rsid w:val="00A4277C"/>
    <w:rsid w:val="00A444D3"/>
    <w:rsid w:val="00A815C6"/>
    <w:rsid w:val="00A9181F"/>
    <w:rsid w:val="00A94920"/>
    <w:rsid w:val="00A94CCA"/>
    <w:rsid w:val="00B66FD1"/>
    <w:rsid w:val="00BD3B9A"/>
    <w:rsid w:val="00C10098"/>
    <w:rsid w:val="00C17724"/>
    <w:rsid w:val="00C552E6"/>
    <w:rsid w:val="00C8105C"/>
    <w:rsid w:val="00C87AE5"/>
    <w:rsid w:val="00CA55C6"/>
    <w:rsid w:val="00CB7EFA"/>
    <w:rsid w:val="00CE102C"/>
    <w:rsid w:val="00CE55B1"/>
    <w:rsid w:val="00D22387"/>
    <w:rsid w:val="00D35976"/>
    <w:rsid w:val="00D5145A"/>
    <w:rsid w:val="00D719B6"/>
    <w:rsid w:val="00D73802"/>
    <w:rsid w:val="00DA7A5C"/>
    <w:rsid w:val="00DB7753"/>
    <w:rsid w:val="00DC56E5"/>
    <w:rsid w:val="00DF75E4"/>
    <w:rsid w:val="00DF7FEA"/>
    <w:rsid w:val="00E0001E"/>
    <w:rsid w:val="00E33A43"/>
    <w:rsid w:val="00E4133F"/>
    <w:rsid w:val="00E4438D"/>
    <w:rsid w:val="00E866BD"/>
    <w:rsid w:val="00EA42DB"/>
    <w:rsid w:val="00F56C42"/>
    <w:rsid w:val="00F71598"/>
    <w:rsid w:val="00F96370"/>
    <w:rsid w:val="00FA3208"/>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1E962"/>
  <w15:docId w15:val="{60DB535C-5AA8-41D4-BA5A-F305EA11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945BA1"/>
  </w:style>
  <w:style w:type="character" w:customStyle="1" w:styleId="TextChar">
    <w:name w:val="Text Char"/>
    <w:basedOn w:val="DefaultParagraphFont"/>
    <w:link w:val="Text"/>
    <w:rsid w:val="00945BA1"/>
    <w:rPr>
      <w:rFonts w:ascii="Arial" w:hAnsi="Arial" w:cs="Arial"/>
    </w:rPr>
  </w:style>
  <w:style w:type="paragraph" w:customStyle="1" w:styleId="Default">
    <w:name w:val="Default"/>
    <w:rsid w:val="00945B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5BA1"/>
    <w:rPr>
      <w:color w:val="00BDF2" w:themeColor="hyperlink"/>
      <w:u w:val="single"/>
    </w:rPr>
  </w:style>
  <w:style w:type="paragraph" w:styleId="Header">
    <w:name w:val="header"/>
    <w:basedOn w:val="Normal"/>
    <w:link w:val="HeaderChar"/>
    <w:uiPriority w:val="99"/>
    <w:unhideWhenUsed/>
    <w:rsid w:val="0094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A1"/>
    <w:rPr>
      <w:rFonts w:ascii="Arial" w:hAnsi="Arial" w:cs="Arial"/>
    </w:rPr>
  </w:style>
  <w:style w:type="paragraph" w:styleId="Footer">
    <w:name w:val="footer"/>
    <w:basedOn w:val="Normal"/>
    <w:link w:val="FooterChar"/>
    <w:uiPriority w:val="99"/>
    <w:unhideWhenUsed/>
    <w:rsid w:val="0094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A1"/>
    <w:rPr>
      <w:rFonts w:ascii="Arial" w:hAnsi="Arial" w:cs="Arial"/>
    </w:rPr>
  </w:style>
  <w:style w:type="character" w:styleId="Strong">
    <w:name w:val="Strong"/>
    <w:basedOn w:val="DefaultParagraphFont"/>
    <w:uiPriority w:val="22"/>
    <w:qFormat/>
    <w:rsid w:val="00461950"/>
    <w:rPr>
      <w:b/>
      <w:bCs/>
    </w:rPr>
  </w:style>
  <w:style w:type="paragraph" w:customStyle="1" w:styleId="ExplanatoryText">
    <w:name w:val="Explanatory Text"/>
    <w:basedOn w:val="Normal"/>
    <w:link w:val="ExplanatoryTextChar"/>
    <w:uiPriority w:val="99"/>
    <w:rsid w:val="00461950"/>
    <w:pPr>
      <w:spacing w:after="0" w:line="240" w:lineRule="auto"/>
    </w:pPr>
    <w:rPr>
      <w:rFonts w:ascii="Helvetica" w:eastAsia="Times New Roman" w:hAnsi="Helvetica"/>
      <w:color w:val="0000FF"/>
      <w:sz w:val="18"/>
      <w:szCs w:val="20"/>
      <w:lang w:val="en-GB"/>
    </w:rPr>
  </w:style>
  <w:style w:type="character" w:customStyle="1" w:styleId="ExplanatoryTextChar">
    <w:name w:val="Explanatory Text Char"/>
    <w:basedOn w:val="DefaultParagraphFont"/>
    <w:link w:val="ExplanatoryText"/>
    <w:uiPriority w:val="99"/>
    <w:rsid w:val="00461950"/>
    <w:rPr>
      <w:rFonts w:ascii="Helvetica" w:eastAsia="Times New Roman" w:hAnsi="Helvetica" w:cs="Arial"/>
      <w:color w:val="0000FF"/>
      <w:sz w:val="18"/>
      <w:szCs w:val="20"/>
      <w:lang w:val="en-GB"/>
    </w:rPr>
  </w:style>
  <w:style w:type="character" w:styleId="CommentReference">
    <w:name w:val="annotation reference"/>
    <w:basedOn w:val="DefaultParagraphFont"/>
    <w:uiPriority w:val="99"/>
    <w:semiHidden/>
    <w:unhideWhenUsed/>
    <w:rsid w:val="00233230"/>
    <w:rPr>
      <w:sz w:val="16"/>
      <w:szCs w:val="16"/>
    </w:rPr>
  </w:style>
  <w:style w:type="paragraph" w:styleId="CommentText">
    <w:name w:val="annotation text"/>
    <w:basedOn w:val="Normal"/>
    <w:link w:val="CommentTextChar"/>
    <w:uiPriority w:val="99"/>
    <w:semiHidden/>
    <w:unhideWhenUsed/>
    <w:rsid w:val="00233230"/>
    <w:pPr>
      <w:spacing w:line="240" w:lineRule="auto"/>
    </w:pPr>
    <w:rPr>
      <w:sz w:val="20"/>
      <w:szCs w:val="20"/>
    </w:rPr>
  </w:style>
  <w:style w:type="character" w:customStyle="1" w:styleId="CommentTextChar">
    <w:name w:val="Comment Text Char"/>
    <w:basedOn w:val="DefaultParagraphFont"/>
    <w:link w:val="CommentText"/>
    <w:uiPriority w:val="99"/>
    <w:semiHidden/>
    <w:rsid w:val="002332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33230"/>
    <w:rPr>
      <w:b/>
      <w:bCs/>
    </w:rPr>
  </w:style>
  <w:style w:type="character" w:customStyle="1" w:styleId="CommentSubjectChar">
    <w:name w:val="Comment Subject Char"/>
    <w:basedOn w:val="CommentTextChar"/>
    <w:link w:val="CommentSubject"/>
    <w:uiPriority w:val="99"/>
    <w:semiHidden/>
    <w:rsid w:val="00233230"/>
    <w:rPr>
      <w:rFonts w:ascii="Arial" w:hAnsi="Arial" w:cs="Arial"/>
      <w:b/>
      <w:bCs/>
      <w:sz w:val="20"/>
      <w:szCs w:val="20"/>
    </w:rPr>
  </w:style>
  <w:style w:type="paragraph" w:styleId="BalloonText">
    <w:name w:val="Balloon Text"/>
    <w:basedOn w:val="Normal"/>
    <w:link w:val="BalloonTextChar"/>
    <w:uiPriority w:val="99"/>
    <w:semiHidden/>
    <w:unhideWhenUsed/>
    <w:rsid w:val="0023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B7ED2"/>
    <w:rPr>
      <w:color w:val="605E5C"/>
      <w:shd w:val="clear" w:color="auto" w:fill="E1DFDD"/>
    </w:rPr>
  </w:style>
  <w:style w:type="character" w:customStyle="1" w:styleId="UnresolvedMention2">
    <w:name w:val="Unresolved Mention2"/>
    <w:basedOn w:val="DefaultParagraphFont"/>
    <w:uiPriority w:val="99"/>
    <w:semiHidden/>
    <w:unhideWhenUsed/>
    <w:rsid w:val="00763A10"/>
    <w:rPr>
      <w:color w:val="605E5C"/>
      <w:shd w:val="clear" w:color="auto" w:fill="E1DFDD"/>
    </w:rPr>
  </w:style>
  <w:style w:type="paragraph" w:styleId="NormalWeb">
    <w:name w:val="Normal (Web)"/>
    <w:basedOn w:val="Normal"/>
    <w:uiPriority w:val="99"/>
    <w:unhideWhenUsed/>
    <w:rsid w:val="0068534C"/>
    <w:pPr>
      <w:spacing w:before="100" w:beforeAutospacing="1" w:after="100" w:afterAutospacing="1" w:line="240" w:lineRule="auto"/>
    </w:pPr>
    <w:rPr>
      <w:rFonts w:ascii="Calibri" w:hAnsi="Calibri" w:cs="Calibri"/>
    </w:rPr>
  </w:style>
  <w:style w:type="character" w:customStyle="1" w:styleId="UnresolvedMention3">
    <w:name w:val="Unresolved Mention3"/>
    <w:basedOn w:val="DefaultParagraphFont"/>
    <w:uiPriority w:val="99"/>
    <w:semiHidden/>
    <w:unhideWhenUsed/>
    <w:rsid w:val="0068534C"/>
    <w:rPr>
      <w:color w:val="605E5C"/>
      <w:shd w:val="clear" w:color="auto" w:fill="E1DFDD"/>
    </w:rPr>
  </w:style>
  <w:style w:type="character" w:customStyle="1" w:styleId="UnresolvedMention">
    <w:name w:val="Unresolved Mention"/>
    <w:basedOn w:val="DefaultParagraphFont"/>
    <w:uiPriority w:val="99"/>
    <w:semiHidden/>
    <w:unhideWhenUsed/>
    <w:rsid w:val="0036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6429">
      <w:bodyDiv w:val="1"/>
      <w:marLeft w:val="0"/>
      <w:marRight w:val="0"/>
      <w:marTop w:val="0"/>
      <w:marBottom w:val="0"/>
      <w:divBdr>
        <w:top w:val="none" w:sz="0" w:space="0" w:color="auto"/>
        <w:left w:val="none" w:sz="0" w:space="0" w:color="auto"/>
        <w:bottom w:val="none" w:sz="0" w:space="0" w:color="auto"/>
        <w:right w:val="none" w:sz="0" w:space="0" w:color="auto"/>
      </w:divBdr>
    </w:div>
    <w:div w:id="1763797148">
      <w:bodyDiv w:val="1"/>
      <w:marLeft w:val="0"/>
      <w:marRight w:val="0"/>
      <w:marTop w:val="0"/>
      <w:marBottom w:val="0"/>
      <w:divBdr>
        <w:top w:val="none" w:sz="0" w:space="0" w:color="auto"/>
        <w:left w:val="none" w:sz="0" w:space="0" w:color="auto"/>
        <w:bottom w:val="none" w:sz="0" w:space="0" w:color="auto"/>
        <w:right w:val="none" w:sz="0" w:space="0" w:color="auto"/>
      </w:divBdr>
    </w:div>
    <w:div w:id="1820531839">
      <w:bodyDiv w:val="1"/>
      <w:marLeft w:val="0"/>
      <w:marRight w:val="0"/>
      <w:marTop w:val="0"/>
      <w:marBottom w:val="0"/>
      <w:divBdr>
        <w:top w:val="none" w:sz="0" w:space="0" w:color="auto"/>
        <w:left w:val="none" w:sz="0" w:space="0" w:color="auto"/>
        <w:bottom w:val="none" w:sz="0" w:space="0" w:color="auto"/>
        <w:right w:val="none" w:sz="0" w:space="0" w:color="auto"/>
      </w:divBdr>
    </w:div>
    <w:div w:id="21228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sha.jethnani@cit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ci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font script="Jpan" typeface="MS PGothic"/>
      </a:majorFont>
      <a:minorFont>
        <a:latin typeface="Arial"/>
        <a:ea typeface="STKaiti"/>
        <a:cs typeface=""/>
        <a:font script="Jpan" typeface="MS PGothic"/>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8|CITI-No PII-Internal|{00000000-0000-0000-0000-000000000000}</XMLData>
</file>

<file path=customXml/item2.xml><?xml version="1.0" encoding="utf-8"?>
<XMLData TextToDisplay="%DOCUMENTGUID%">{00000000-0000-0000-0000-000000000000}</XMLData>
</file>

<file path=customXml/item3.xml><?xml version="1.0" encoding="utf-8"?>
<XMLData TextToDisplay="%CLASSIFICATIONDATETIME%">07:45 29/10/2021</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75C6-FA17-4F14-914E-DAD9D02D3B63}">
  <ds:schemaRefs/>
</ds:datastoreItem>
</file>

<file path=customXml/itemProps2.xml><?xml version="1.0" encoding="utf-8"?>
<ds:datastoreItem xmlns:ds="http://schemas.openxmlformats.org/officeDocument/2006/customXml" ds:itemID="{C342980F-34B0-4EEC-A8EF-2B0F5175C885}">
  <ds:schemaRefs/>
</ds:datastoreItem>
</file>

<file path=customXml/itemProps3.xml><?xml version="1.0" encoding="utf-8"?>
<ds:datastoreItem xmlns:ds="http://schemas.openxmlformats.org/officeDocument/2006/customXml" ds:itemID="{AA0F28A7-E66B-4214-B4CD-8D844393A465}">
  <ds:schemaRefs/>
</ds:datastoreItem>
</file>

<file path=customXml/itemProps4.xml><?xml version="1.0" encoding="utf-8"?>
<ds:datastoreItem xmlns:ds="http://schemas.openxmlformats.org/officeDocument/2006/customXml" ds:itemID="{2C63102D-2A09-4F86-AE48-9A5CBDB5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Downey, Karina [ICG-TTS]</dc:creator>
  <cp:lastModifiedBy>Jethnani, Harsha [GPA]</cp:lastModifiedBy>
  <cp:revision>3</cp:revision>
  <cp:lastPrinted>2021-03-30T06:13:00Z</cp:lastPrinted>
  <dcterms:created xsi:type="dcterms:W3CDTF">2021-10-29T07:45:00Z</dcterms:created>
  <dcterms:modified xsi:type="dcterms:W3CDTF">2021-10-29T07:52:00Z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Version4.7.3.33</vt:lpwstr>
  </property>
  <property fmtid="{D5CDD505-2E9C-101B-9397-08002B2CF9AE}" pid="5" name="RightsWATCHMark">
    <vt:lpwstr>8|CITI-No PII-Internal|{00000000-0000-0000-0000-000000000000}</vt:lpwstr>
  </property>
</Properties>
</file>