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FB" w:rsidRDefault="00F374FB" w:rsidP="00F374F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MUFG has announced </w:t>
      </w:r>
      <w:proofErr w:type="gramStart"/>
      <w:r>
        <w:rPr>
          <w:rFonts w:ascii="Arial" w:hAnsi="Arial" w:cs="Arial"/>
          <w:color w:val="000000"/>
        </w:rPr>
        <w:t>a number of</w:t>
      </w:r>
      <w:proofErr w:type="gramEnd"/>
      <w:r>
        <w:rPr>
          <w:rFonts w:ascii="Arial" w:hAnsi="Arial" w:cs="Arial"/>
          <w:color w:val="000000"/>
        </w:rPr>
        <w:t xml:space="preserve"> changes in its transaction banking and trade divisions.</w:t>
      </w:r>
    </w:p>
    <w:p w:rsidR="00F374FB" w:rsidRDefault="00F374FB" w:rsidP="00F374F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Azim </w:t>
      </w:r>
      <w:proofErr w:type="spellStart"/>
      <w:r>
        <w:rPr>
          <w:rFonts w:ascii="Arial" w:hAnsi="Arial" w:cs="Arial"/>
          <w:color w:val="000000"/>
        </w:rPr>
        <w:t>Walli</w:t>
      </w:r>
      <w:proofErr w:type="spellEnd"/>
      <w:r>
        <w:rPr>
          <w:rFonts w:ascii="Arial" w:hAnsi="Arial" w:cs="Arial"/>
          <w:color w:val="000000"/>
        </w:rPr>
        <w:t xml:space="preserve"> has been appointed in an expanded role to head the bank’s full suite of products for Transaction Banking in Asia. </w:t>
      </w:r>
      <w:proofErr w:type="spellStart"/>
      <w:r>
        <w:rPr>
          <w:rFonts w:ascii="Arial" w:hAnsi="Arial" w:cs="Arial"/>
          <w:color w:val="000000"/>
        </w:rPr>
        <w:t>Walli</w:t>
      </w:r>
      <w:proofErr w:type="spellEnd"/>
      <w:r>
        <w:rPr>
          <w:rFonts w:ascii="Arial" w:hAnsi="Arial" w:cs="Arial"/>
          <w:color w:val="000000"/>
        </w:rPr>
        <w:t xml:space="preserve"> joined MUFG in January 2016 and has strengthened the bank’s trade, supply chain finance, trade asset distribution and key trade digital initiatives in the Asia &amp; Oceania region. </w:t>
      </w:r>
    </w:p>
    <w:p w:rsidR="00F374FB" w:rsidRDefault="00F374FB" w:rsidP="00F374F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his new role he will extend his expertise in driving product strategy, governance and capability delivery to cash, liquidity, payments and related digital platforms whilst continuing to lead the Trade &amp; Supply Chain Finance product business for the region. </w:t>
      </w:r>
    </w:p>
    <w:p w:rsidR="00F374FB" w:rsidRDefault="00F374FB" w:rsidP="00F374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Meanwhile in EMEA region, Michael </w:t>
      </w:r>
      <w:proofErr w:type="spellStart"/>
      <w:r>
        <w:rPr>
          <w:rFonts w:ascii="Arial" w:hAnsi="Arial" w:cs="Arial"/>
          <w:color w:val="000000"/>
        </w:rPr>
        <w:t>Yankson</w:t>
      </w:r>
      <w:proofErr w:type="spellEnd"/>
      <w:r>
        <w:rPr>
          <w:rFonts w:ascii="Arial" w:hAnsi="Arial" w:cs="Arial"/>
          <w:color w:val="000000"/>
        </w:rPr>
        <w:t xml:space="preserve"> has been named as head of Trade &amp; Working Capital Finance Sales, Transaction Banking. He has been acting head since June 2019. And Paul Brodie has been appointed as MUFG's head of cash and liquidity sales.</w:t>
      </w:r>
    </w:p>
    <w:p w:rsidR="00765B9B" w:rsidRPr="007253C2" w:rsidRDefault="00F374FB">
      <w:pPr>
        <w:rPr>
          <w:sz w:val="28"/>
          <w:szCs w:val="28"/>
        </w:rPr>
      </w:pPr>
      <w:bookmarkStart w:id="0" w:name="_GoBack"/>
      <w:bookmarkEnd w:id="0"/>
    </w:p>
    <w:sectPr w:rsidR="00765B9B" w:rsidRPr="0072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C2"/>
    <w:rsid w:val="004A5866"/>
    <w:rsid w:val="007253C2"/>
    <w:rsid w:val="008B11CB"/>
    <w:rsid w:val="009A3E88"/>
    <w:rsid w:val="00F3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3702"/>
  <w15:chartTrackingRefBased/>
  <w15:docId w15:val="{884B876E-4D7D-4DCF-BA08-666B1BB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3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2020-01-07T15:25:00Z</dcterms:created>
  <dcterms:modified xsi:type="dcterms:W3CDTF">2020-01-07T15:27:00Z</dcterms:modified>
</cp:coreProperties>
</file>