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B6C7" w14:textId="77777777" w:rsidR="003D4B31" w:rsidRPr="003D4B31" w:rsidRDefault="003D4B31" w:rsidP="003D4B31">
      <w:pPr>
        <w:shd w:val="clear" w:color="auto" w:fill="FFFFFF"/>
        <w:spacing w:before="100" w:beforeAutospacing="1" w:after="100" w:afterAutospacing="1" w:line="240" w:lineRule="auto"/>
        <w:outlineLvl w:val="0"/>
        <w:rPr>
          <w:rFonts w:ascii="Calibri" w:eastAsia="Times New Roman" w:hAnsi="Calibri" w:cs="Calibri"/>
          <w:b/>
          <w:bCs/>
          <w:color w:val="222222"/>
          <w:kern w:val="36"/>
          <w:sz w:val="48"/>
          <w:szCs w:val="48"/>
          <w:lang w:eastAsia="en-GB"/>
        </w:rPr>
      </w:pPr>
      <w:proofErr w:type="spellStart"/>
      <w:r w:rsidRPr="003D4B31">
        <w:rPr>
          <w:rFonts w:ascii="Arial" w:eastAsia="Times New Roman" w:hAnsi="Arial" w:cs="Arial"/>
          <w:color w:val="222222"/>
          <w:kern w:val="36"/>
          <w:sz w:val="40"/>
          <w:szCs w:val="40"/>
          <w:lang w:eastAsia="en-GB"/>
        </w:rPr>
        <w:t>XinFin’s</w:t>
      </w:r>
      <w:proofErr w:type="spellEnd"/>
      <w:r w:rsidRPr="003D4B31">
        <w:rPr>
          <w:rFonts w:ascii="Arial" w:eastAsia="Times New Roman" w:hAnsi="Arial" w:cs="Arial"/>
          <w:color w:val="222222"/>
          <w:kern w:val="36"/>
          <w:sz w:val="40"/>
          <w:szCs w:val="40"/>
          <w:lang w:eastAsia="en-GB"/>
        </w:rPr>
        <w:t xml:space="preserve"> XDC Network Selected </w:t>
      </w:r>
      <w:proofErr w:type="gramStart"/>
      <w:r w:rsidRPr="003D4B31">
        <w:rPr>
          <w:rFonts w:ascii="Arial" w:eastAsia="Times New Roman" w:hAnsi="Arial" w:cs="Arial"/>
          <w:color w:val="222222"/>
          <w:kern w:val="36"/>
          <w:sz w:val="40"/>
          <w:szCs w:val="40"/>
          <w:lang w:eastAsia="en-GB"/>
        </w:rPr>
        <w:t>As</w:t>
      </w:r>
      <w:proofErr w:type="gramEnd"/>
      <w:r w:rsidRPr="003D4B31">
        <w:rPr>
          <w:rFonts w:ascii="Arial" w:eastAsia="Times New Roman" w:hAnsi="Arial" w:cs="Arial"/>
          <w:color w:val="222222"/>
          <w:kern w:val="36"/>
          <w:sz w:val="40"/>
          <w:szCs w:val="40"/>
          <w:lang w:eastAsia="en-GB"/>
        </w:rPr>
        <w:t xml:space="preserve"> the First Blockchain Company To Join the Global Trade Finance Distribution Initiative</w:t>
      </w:r>
    </w:p>
    <w:p w14:paraId="7862AA82"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i/>
          <w:iCs/>
          <w:color w:val="666666"/>
          <w:sz w:val="30"/>
          <w:szCs w:val="30"/>
          <w:lang w:eastAsia="en-GB"/>
        </w:rPr>
        <w:t>XDC Network joins major transaction banks, SME funding platforms, and institutional investors committed to accelerating the digitisation of trade distribution</w:t>
      </w:r>
    </w:p>
    <w:p w14:paraId="7C344298"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7BEBCDB5"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b/>
          <w:bCs/>
          <w:color w:val="222222"/>
          <w:sz w:val="24"/>
          <w:szCs w:val="24"/>
          <w:lang w:eastAsia="en-GB"/>
        </w:rPr>
        <w:t>Singapore, 17 August</w:t>
      </w:r>
      <w:r w:rsidRPr="003D4B31">
        <w:rPr>
          <w:rFonts w:ascii="Arial" w:eastAsia="Times New Roman" w:hAnsi="Arial" w:cs="Arial"/>
          <w:color w:val="222222"/>
          <w:sz w:val="24"/>
          <w:szCs w:val="24"/>
          <w:lang w:eastAsia="en-GB"/>
        </w:rPr>
        <w:t> – </w:t>
      </w:r>
      <w:hyperlink r:id="rId4" w:tgtFrame="_blank" w:history="1">
        <w:r w:rsidRPr="003D4B31">
          <w:rPr>
            <w:rFonts w:ascii="Arial" w:eastAsia="Times New Roman" w:hAnsi="Arial" w:cs="Arial"/>
            <w:color w:val="1155CC"/>
            <w:u w:val="single"/>
            <w:lang w:eastAsia="en-GB"/>
          </w:rPr>
          <w:t>XDC Network</w:t>
        </w:r>
      </w:hyperlink>
      <w:r w:rsidRPr="003D4B31">
        <w:rPr>
          <w:rFonts w:ascii="Arial" w:eastAsia="Times New Roman" w:hAnsi="Arial" w:cs="Arial"/>
          <w:color w:val="222222"/>
          <w:sz w:val="24"/>
          <w:szCs w:val="24"/>
          <w:lang w:eastAsia="en-GB"/>
        </w:rPr>
        <w:t>, a highly interoperable, hybrid blockchain platform that supports global trade and finance, is honoured to have been selected as the first blockchain company to join the global </w:t>
      </w:r>
      <w:hyperlink r:id="rId5" w:tgtFrame="_blank" w:history="1">
        <w:r w:rsidRPr="003D4B31">
          <w:rPr>
            <w:rFonts w:ascii="Arial" w:eastAsia="Times New Roman" w:hAnsi="Arial" w:cs="Arial"/>
            <w:color w:val="1155CC"/>
            <w:u w:val="single"/>
            <w:lang w:eastAsia="en-GB"/>
          </w:rPr>
          <w:t>Trade Finance Distribution (TFD) Initiative</w:t>
        </w:r>
      </w:hyperlink>
      <w:r w:rsidRPr="003D4B31">
        <w:rPr>
          <w:rFonts w:ascii="Arial" w:eastAsia="Times New Roman" w:hAnsi="Arial" w:cs="Arial"/>
          <w:color w:val="222222"/>
          <w:sz w:val="24"/>
          <w:szCs w:val="24"/>
          <w:lang w:eastAsia="en-GB"/>
        </w:rPr>
        <w:t>, a consortium of trade originators, credit insurers, and institutional funders on a mission to boost automation and transparency in trade asset and risk distribution.</w:t>
      </w:r>
    </w:p>
    <w:p w14:paraId="203F88C6"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406EDCAF"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XDC Network was selected to join the TFD Initiative by fintech veteran </w:t>
      </w:r>
      <w:hyperlink r:id="rId6" w:tgtFrame="_blank" w:history="1">
        <w:r w:rsidRPr="003D4B31">
          <w:rPr>
            <w:rFonts w:ascii="Arial" w:eastAsia="Times New Roman" w:hAnsi="Arial" w:cs="Arial"/>
            <w:color w:val="1155CC"/>
            <w:u w:val="single"/>
            <w:lang w:eastAsia="en-GB"/>
          </w:rPr>
          <w:t xml:space="preserve">André </w:t>
        </w:r>
        <w:proofErr w:type="spellStart"/>
        <w:r w:rsidRPr="003D4B31">
          <w:rPr>
            <w:rFonts w:ascii="Arial" w:eastAsia="Times New Roman" w:hAnsi="Arial" w:cs="Arial"/>
            <w:color w:val="1155CC"/>
            <w:u w:val="single"/>
            <w:lang w:eastAsia="en-GB"/>
          </w:rPr>
          <w:t>Casterman</w:t>
        </w:r>
        <w:proofErr w:type="spellEnd"/>
      </w:hyperlink>
      <w:r w:rsidRPr="003D4B31">
        <w:rPr>
          <w:rFonts w:ascii="Arial" w:eastAsia="Times New Roman" w:hAnsi="Arial" w:cs="Arial"/>
          <w:color w:val="222222"/>
          <w:sz w:val="24"/>
          <w:szCs w:val="24"/>
          <w:lang w:eastAsia="en-GB"/>
        </w:rPr>
        <w:t xml:space="preserve">, whose impressive track record includes over 20 years at SWIFT, leading various technology innovations in inter-bank payments, corporate payments, corporate treasury, and trade finance. </w:t>
      </w:r>
      <w:proofErr w:type="spellStart"/>
      <w:r w:rsidRPr="003D4B31">
        <w:rPr>
          <w:rFonts w:ascii="Arial" w:eastAsia="Times New Roman" w:hAnsi="Arial" w:cs="Arial"/>
          <w:color w:val="222222"/>
          <w:sz w:val="24"/>
          <w:szCs w:val="24"/>
          <w:lang w:eastAsia="en-GB"/>
        </w:rPr>
        <w:t>Casterman</w:t>
      </w:r>
      <w:proofErr w:type="spellEnd"/>
      <w:r w:rsidRPr="003D4B31">
        <w:rPr>
          <w:rFonts w:ascii="Arial" w:eastAsia="Times New Roman" w:hAnsi="Arial" w:cs="Arial"/>
          <w:color w:val="222222"/>
          <w:sz w:val="24"/>
          <w:szCs w:val="24"/>
          <w:lang w:eastAsia="en-GB"/>
        </w:rPr>
        <w:t xml:space="preserve"> is responsible for spearheading the TFD Initiative.</w:t>
      </w:r>
    </w:p>
    <w:p w14:paraId="78150DB9"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5ABC5E7A"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 xml:space="preserve">In welcoming the XDC Network, </w:t>
      </w:r>
      <w:proofErr w:type="spellStart"/>
      <w:r w:rsidRPr="003D4B31">
        <w:rPr>
          <w:rFonts w:ascii="Arial" w:eastAsia="Times New Roman" w:hAnsi="Arial" w:cs="Arial"/>
          <w:color w:val="222222"/>
          <w:sz w:val="24"/>
          <w:szCs w:val="24"/>
          <w:lang w:eastAsia="en-GB"/>
        </w:rPr>
        <w:t>Casterman</w:t>
      </w:r>
      <w:proofErr w:type="spellEnd"/>
      <w:r w:rsidRPr="003D4B31">
        <w:rPr>
          <w:rFonts w:ascii="Arial" w:eastAsia="Times New Roman" w:hAnsi="Arial" w:cs="Arial"/>
          <w:color w:val="222222"/>
          <w:sz w:val="24"/>
          <w:szCs w:val="24"/>
          <w:lang w:eastAsia="en-GB"/>
        </w:rPr>
        <w:t xml:space="preserve">, who is also Chair of the Fintech Committee at International Trade and Forfaiting Association (ITFA), said: “TFD Initiative provides the most comprehensive set of trade distribution capabilities. We welcome </w:t>
      </w:r>
      <w:proofErr w:type="spellStart"/>
      <w:r w:rsidRPr="003D4B31">
        <w:rPr>
          <w:rFonts w:ascii="Arial" w:eastAsia="Times New Roman" w:hAnsi="Arial" w:cs="Arial"/>
          <w:color w:val="222222"/>
          <w:sz w:val="24"/>
          <w:szCs w:val="24"/>
          <w:lang w:eastAsia="en-GB"/>
        </w:rPr>
        <w:t>XinFin’s</w:t>
      </w:r>
      <w:proofErr w:type="spellEnd"/>
      <w:r w:rsidRPr="003D4B31">
        <w:rPr>
          <w:rFonts w:ascii="Arial" w:eastAsia="Times New Roman" w:hAnsi="Arial" w:cs="Arial"/>
          <w:color w:val="222222"/>
          <w:sz w:val="24"/>
          <w:szCs w:val="24"/>
          <w:lang w:eastAsia="en-GB"/>
        </w:rPr>
        <w:t xml:space="preserve"> XDC Network to TFD Initiative as this enables us to bridge the US$19 trillion trade finance asset class with any type of funder through tokenisation and digital assets.”</w:t>
      </w:r>
    </w:p>
    <w:p w14:paraId="07815A4C"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0871BF46"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To establish trade as an investment class, TFD Initiative is working to define new technology-based market practices and transaction data specifications, with the goal of increasing the accessibility and transparency of trade flows. This will create a more robust trade finance ecosystem where banks can reach new types of funders, like institutional investors and family offices. </w:t>
      </w:r>
    </w:p>
    <w:p w14:paraId="0EC3939C"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00027D7A"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The TFD Initiative, whose members include major global financial institutions and leading service providers such as ABN AMRO, Santander Asset Management, ING Bank, SMBC, ANZ, Commonwealth Bank of Australia, Texel Group, NN Investment Partners and more, recognises the vital role blockchain will play in shaping the future of the trade finance sector, which has already been successfully implemented in other areas of finance. </w:t>
      </w:r>
    </w:p>
    <w:p w14:paraId="7A944E77"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26931E53"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A first-of-its-kind, public-private hybrid blockchain platform, XDC Network brings energy-efficient smart contract and digital asset technology to the trade investment class.</w:t>
      </w:r>
    </w:p>
    <w:p w14:paraId="74FF1790"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 xml:space="preserve">Chris Southworth, Secretary General, ICC United Kingdom who is an observer on TFD Initiative said: “Trade finance is a compelling asset class for institutional investors. Making trade finance more accessible for non-bank investors is of paramount importance if we are going to drive the economic recovery from Covid and fill the USD 3-5 trillion SME trade finance gap. Innovative technology driven </w:t>
      </w:r>
      <w:r w:rsidRPr="003D4B31">
        <w:rPr>
          <w:rFonts w:ascii="Arial" w:eastAsia="Times New Roman" w:hAnsi="Arial" w:cs="Arial"/>
          <w:color w:val="222222"/>
          <w:sz w:val="24"/>
          <w:szCs w:val="24"/>
          <w:lang w:eastAsia="en-GB"/>
        </w:rPr>
        <w:lastRenderedPageBreak/>
        <w:t>solutions like the TFD Initiative are a critical part of the solution to providing more liquidity into the market.”</w:t>
      </w:r>
    </w:p>
    <w:p w14:paraId="7937DF1A"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6F76E8F2"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Leveraging the power of cryptographic tokens, the XDC Network allows for the digitisation, tokenisation, and swift settlement of trade transactions, reducing reliance on complex foreign exchange infrastructures. Some of the key advantages include lower transaction fees (near zero), less energy consumption, efficient confirmation time, double validation, and randomisation for security guarantees.</w:t>
      </w:r>
    </w:p>
    <w:p w14:paraId="3FD37989"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2EEA4CB8"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 xml:space="preserve">“Utility networks, like the XDC Network, will help lay the tracks for a new digital economy and develop standards for tokenized trade finance distribution, giving organizations increased exposure to emerging markets. XDC brings new sources of liquidity, via our smart contract technology to global trade finance. Joining TFD Initiative enables us to work closely with a series of bank and non-bank originators and contribute to closing the SME financing gap,” says Atul </w:t>
      </w:r>
      <w:proofErr w:type="spellStart"/>
      <w:r w:rsidRPr="003D4B31">
        <w:rPr>
          <w:rFonts w:ascii="Arial" w:eastAsia="Times New Roman" w:hAnsi="Arial" w:cs="Arial"/>
          <w:color w:val="222222"/>
          <w:sz w:val="24"/>
          <w:szCs w:val="24"/>
          <w:lang w:eastAsia="en-GB"/>
        </w:rPr>
        <w:t>Khekade</w:t>
      </w:r>
      <w:proofErr w:type="spellEnd"/>
      <w:r w:rsidRPr="003D4B31">
        <w:rPr>
          <w:rFonts w:ascii="Arial" w:eastAsia="Times New Roman" w:hAnsi="Arial" w:cs="Arial"/>
          <w:color w:val="222222"/>
          <w:sz w:val="24"/>
          <w:szCs w:val="24"/>
          <w:lang w:eastAsia="en-GB"/>
        </w:rPr>
        <w:t>, co-founder of XDC Network.</w:t>
      </w:r>
    </w:p>
    <w:p w14:paraId="6D8E016A"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Helvetica" w:eastAsia="Times New Roman" w:hAnsi="Helvetica" w:cs="Helvetica"/>
          <w:color w:val="222222"/>
          <w:sz w:val="20"/>
          <w:szCs w:val="20"/>
          <w:lang w:eastAsia="en-GB"/>
        </w:rPr>
        <w:t> </w:t>
      </w:r>
    </w:p>
    <w:p w14:paraId="7BD91FCA"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“Emerging technologies such as distributed ledgers are being promoted as a way to create </w:t>
      </w:r>
      <w:r w:rsidRPr="003D4B31">
        <w:rPr>
          <w:rFonts w:ascii="Arial" w:eastAsia="Times New Roman" w:hAnsi="Arial" w:cs="Arial"/>
          <w:i/>
          <w:iCs/>
          <w:color w:val="222222"/>
          <w:sz w:val="24"/>
          <w:szCs w:val="24"/>
          <w:lang w:eastAsia="en-GB"/>
        </w:rPr>
        <w:t>smart contracts</w:t>
      </w:r>
      <w:r w:rsidRPr="003D4B31">
        <w:rPr>
          <w:rFonts w:ascii="Arial" w:eastAsia="Times New Roman" w:hAnsi="Arial" w:cs="Arial"/>
          <w:color w:val="222222"/>
          <w:sz w:val="24"/>
          <w:szCs w:val="24"/>
          <w:lang w:eastAsia="en-GB"/>
        </w:rPr>
        <w:t>: computer programs which run automatically, in whole or in part, without the need for human intervention,” says Sarah Green, Law Commissioner for England and Wales. “Smart contracts are expected to increase efficiency and certainty in business and reduce the need for contracting parties to have to trust each other; the trust resides instead in the code. To ensure that the jurisdiction of England and Wales remains a competitive choice for business, there is a compelling case for reviewing the current legal framework in England and Wales to ensure that it facilitates the use of smart contracts.”</w:t>
      </w:r>
    </w:p>
    <w:p w14:paraId="53A571F5" w14:textId="77777777" w:rsidR="003D4B31" w:rsidRPr="003D4B31" w:rsidRDefault="003D4B31" w:rsidP="003D4B31">
      <w:pPr>
        <w:shd w:val="clear" w:color="auto" w:fill="FFFFFF"/>
        <w:spacing w:after="0" w:line="240" w:lineRule="auto"/>
        <w:rPr>
          <w:rFonts w:ascii="Arial" w:eastAsia="Times New Roman" w:hAnsi="Arial" w:cs="Arial"/>
          <w:color w:val="222222"/>
          <w:sz w:val="24"/>
          <w:szCs w:val="24"/>
          <w:lang w:eastAsia="en-GB"/>
        </w:rPr>
      </w:pPr>
      <w:r w:rsidRPr="003D4B31">
        <w:rPr>
          <w:rFonts w:ascii="Arial" w:eastAsia="Times New Roman" w:hAnsi="Arial" w:cs="Arial"/>
          <w:color w:val="222222"/>
          <w:sz w:val="24"/>
          <w:szCs w:val="24"/>
          <w:lang w:eastAsia="en-GB"/>
        </w:rPr>
        <w:t>An initial set of SME-focused supply chain finance platforms powered by XDC on the back of the TFD Initiative will be announced in the coming weeks.</w:t>
      </w:r>
    </w:p>
    <w:p w14:paraId="0D119B4C" w14:textId="77777777" w:rsidR="00765B9B" w:rsidRDefault="003D4B31"/>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31"/>
    <w:rsid w:val="003D4B31"/>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BB29"/>
  <w15:chartTrackingRefBased/>
  <w15:docId w15:val="{CD1F1CB7-3323-4CC9-A178-8565E29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B3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95305">
      <w:bodyDiv w:val="1"/>
      <w:marLeft w:val="0"/>
      <w:marRight w:val="0"/>
      <w:marTop w:val="0"/>
      <w:marBottom w:val="0"/>
      <w:divBdr>
        <w:top w:val="none" w:sz="0" w:space="0" w:color="auto"/>
        <w:left w:val="none" w:sz="0" w:space="0" w:color="auto"/>
        <w:bottom w:val="none" w:sz="0" w:space="0" w:color="auto"/>
        <w:right w:val="none" w:sz="0" w:space="0" w:color="auto"/>
      </w:divBdr>
      <w:divsChild>
        <w:div w:id="1716857461">
          <w:marLeft w:val="0"/>
          <w:marRight w:val="0"/>
          <w:marTop w:val="0"/>
          <w:marBottom w:val="0"/>
          <w:divBdr>
            <w:top w:val="none" w:sz="0" w:space="0" w:color="auto"/>
            <w:left w:val="none" w:sz="0" w:space="0" w:color="auto"/>
            <w:bottom w:val="none" w:sz="0" w:space="0" w:color="auto"/>
            <w:right w:val="none" w:sz="0" w:space="0" w:color="auto"/>
          </w:divBdr>
        </w:div>
        <w:div w:id="1551334980">
          <w:marLeft w:val="0"/>
          <w:marRight w:val="0"/>
          <w:marTop w:val="0"/>
          <w:marBottom w:val="0"/>
          <w:divBdr>
            <w:top w:val="none" w:sz="0" w:space="0" w:color="auto"/>
            <w:left w:val="none" w:sz="0" w:space="0" w:color="auto"/>
            <w:bottom w:val="none" w:sz="0" w:space="0" w:color="auto"/>
            <w:right w:val="none" w:sz="0" w:space="0" w:color="auto"/>
          </w:divBdr>
        </w:div>
        <w:div w:id="362176025">
          <w:marLeft w:val="0"/>
          <w:marRight w:val="0"/>
          <w:marTop w:val="0"/>
          <w:marBottom w:val="0"/>
          <w:divBdr>
            <w:top w:val="none" w:sz="0" w:space="0" w:color="auto"/>
            <w:left w:val="none" w:sz="0" w:space="0" w:color="auto"/>
            <w:bottom w:val="none" w:sz="0" w:space="0" w:color="auto"/>
            <w:right w:val="none" w:sz="0" w:space="0" w:color="auto"/>
          </w:divBdr>
        </w:div>
        <w:div w:id="6641546">
          <w:marLeft w:val="0"/>
          <w:marRight w:val="0"/>
          <w:marTop w:val="0"/>
          <w:marBottom w:val="0"/>
          <w:divBdr>
            <w:top w:val="none" w:sz="0" w:space="0" w:color="auto"/>
            <w:left w:val="none" w:sz="0" w:space="0" w:color="auto"/>
            <w:bottom w:val="none" w:sz="0" w:space="0" w:color="auto"/>
            <w:right w:val="none" w:sz="0" w:space="0" w:color="auto"/>
          </w:divBdr>
        </w:div>
        <w:div w:id="1639264611">
          <w:marLeft w:val="0"/>
          <w:marRight w:val="0"/>
          <w:marTop w:val="0"/>
          <w:marBottom w:val="0"/>
          <w:divBdr>
            <w:top w:val="none" w:sz="0" w:space="0" w:color="auto"/>
            <w:left w:val="none" w:sz="0" w:space="0" w:color="auto"/>
            <w:bottom w:val="none" w:sz="0" w:space="0" w:color="auto"/>
            <w:right w:val="none" w:sz="0" w:space="0" w:color="auto"/>
          </w:divBdr>
        </w:div>
        <w:div w:id="1191263928">
          <w:marLeft w:val="0"/>
          <w:marRight w:val="0"/>
          <w:marTop w:val="0"/>
          <w:marBottom w:val="0"/>
          <w:divBdr>
            <w:top w:val="none" w:sz="0" w:space="0" w:color="auto"/>
            <w:left w:val="none" w:sz="0" w:space="0" w:color="auto"/>
            <w:bottom w:val="none" w:sz="0" w:space="0" w:color="auto"/>
            <w:right w:val="none" w:sz="0" w:space="0" w:color="auto"/>
          </w:divBdr>
        </w:div>
        <w:div w:id="1166244804">
          <w:marLeft w:val="0"/>
          <w:marRight w:val="0"/>
          <w:marTop w:val="0"/>
          <w:marBottom w:val="0"/>
          <w:divBdr>
            <w:top w:val="none" w:sz="0" w:space="0" w:color="auto"/>
            <w:left w:val="none" w:sz="0" w:space="0" w:color="auto"/>
            <w:bottom w:val="none" w:sz="0" w:space="0" w:color="auto"/>
            <w:right w:val="none" w:sz="0" w:space="0" w:color="auto"/>
          </w:divBdr>
        </w:div>
        <w:div w:id="1125662817">
          <w:marLeft w:val="0"/>
          <w:marRight w:val="0"/>
          <w:marTop w:val="0"/>
          <w:marBottom w:val="0"/>
          <w:divBdr>
            <w:top w:val="none" w:sz="0" w:space="0" w:color="auto"/>
            <w:left w:val="none" w:sz="0" w:space="0" w:color="auto"/>
            <w:bottom w:val="none" w:sz="0" w:space="0" w:color="auto"/>
            <w:right w:val="none" w:sz="0" w:space="0" w:color="auto"/>
          </w:divBdr>
        </w:div>
        <w:div w:id="1597250078">
          <w:marLeft w:val="0"/>
          <w:marRight w:val="0"/>
          <w:marTop w:val="0"/>
          <w:marBottom w:val="0"/>
          <w:divBdr>
            <w:top w:val="none" w:sz="0" w:space="0" w:color="auto"/>
            <w:left w:val="none" w:sz="0" w:space="0" w:color="auto"/>
            <w:bottom w:val="none" w:sz="0" w:space="0" w:color="auto"/>
            <w:right w:val="none" w:sz="0" w:space="0" w:color="auto"/>
          </w:divBdr>
        </w:div>
        <w:div w:id="1879002510">
          <w:marLeft w:val="0"/>
          <w:marRight w:val="0"/>
          <w:marTop w:val="0"/>
          <w:marBottom w:val="0"/>
          <w:divBdr>
            <w:top w:val="none" w:sz="0" w:space="0" w:color="auto"/>
            <w:left w:val="none" w:sz="0" w:space="0" w:color="auto"/>
            <w:bottom w:val="none" w:sz="0" w:space="0" w:color="auto"/>
            <w:right w:val="none" w:sz="0" w:space="0" w:color="auto"/>
          </w:divBdr>
        </w:div>
        <w:div w:id="1776555370">
          <w:marLeft w:val="0"/>
          <w:marRight w:val="0"/>
          <w:marTop w:val="0"/>
          <w:marBottom w:val="0"/>
          <w:divBdr>
            <w:top w:val="none" w:sz="0" w:space="0" w:color="auto"/>
            <w:left w:val="none" w:sz="0" w:space="0" w:color="auto"/>
            <w:bottom w:val="none" w:sz="0" w:space="0" w:color="auto"/>
            <w:right w:val="none" w:sz="0" w:space="0" w:color="auto"/>
          </w:divBdr>
        </w:div>
        <w:div w:id="218131853">
          <w:marLeft w:val="0"/>
          <w:marRight w:val="0"/>
          <w:marTop w:val="0"/>
          <w:marBottom w:val="0"/>
          <w:divBdr>
            <w:top w:val="none" w:sz="0" w:space="0" w:color="auto"/>
            <w:left w:val="none" w:sz="0" w:space="0" w:color="auto"/>
            <w:bottom w:val="none" w:sz="0" w:space="0" w:color="auto"/>
            <w:right w:val="none" w:sz="0" w:space="0" w:color="auto"/>
          </w:divBdr>
        </w:div>
        <w:div w:id="1793866912">
          <w:marLeft w:val="0"/>
          <w:marRight w:val="0"/>
          <w:marTop w:val="0"/>
          <w:marBottom w:val="0"/>
          <w:divBdr>
            <w:top w:val="none" w:sz="0" w:space="0" w:color="auto"/>
            <w:left w:val="none" w:sz="0" w:space="0" w:color="auto"/>
            <w:bottom w:val="none" w:sz="0" w:space="0" w:color="auto"/>
            <w:right w:val="none" w:sz="0" w:space="0" w:color="auto"/>
          </w:divBdr>
        </w:div>
        <w:div w:id="1427505616">
          <w:marLeft w:val="0"/>
          <w:marRight w:val="0"/>
          <w:marTop w:val="0"/>
          <w:marBottom w:val="0"/>
          <w:divBdr>
            <w:top w:val="none" w:sz="0" w:space="0" w:color="auto"/>
            <w:left w:val="none" w:sz="0" w:space="0" w:color="auto"/>
            <w:bottom w:val="none" w:sz="0" w:space="0" w:color="auto"/>
            <w:right w:val="none" w:sz="0" w:space="0" w:color="auto"/>
          </w:divBdr>
        </w:div>
        <w:div w:id="255946377">
          <w:marLeft w:val="0"/>
          <w:marRight w:val="0"/>
          <w:marTop w:val="0"/>
          <w:marBottom w:val="0"/>
          <w:divBdr>
            <w:top w:val="none" w:sz="0" w:space="0" w:color="auto"/>
            <w:left w:val="none" w:sz="0" w:space="0" w:color="auto"/>
            <w:bottom w:val="none" w:sz="0" w:space="0" w:color="auto"/>
            <w:right w:val="none" w:sz="0" w:space="0" w:color="auto"/>
          </w:divBdr>
        </w:div>
        <w:div w:id="533268670">
          <w:marLeft w:val="0"/>
          <w:marRight w:val="0"/>
          <w:marTop w:val="0"/>
          <w:marBottom w:val="0"/>
          <w:divBdr>
            <w:top w:val="none" w:sz="0" w:space="0" w:color="auto"/>
            <w:left w:val="none" w:sz="0" w:space="0" w:color="auto"/>
            <w:bottom w:val="none" w:sz="0" w:space="0" w:color="auto"/>
            <w:right w:val="none" w:sz="0" w:space="0" w:color="auto"/>
          </w:divBdr>
        </w:div>
        <w:div w:id="1607732642">
          <w:marLeft w:val="0"/>
          <w:marRight w:val="0"/>
          <w:marTop w:val="0"/>
          <w:marBottom w:val="0"/>
          <w:divBdr>
            <w:top w:val="none" w:sz="0" w:space="0" w:color="auto"/>
            <w:left w:val="none" w:sz="0" w:space="0" w:color="auto"/>
            <w:bottom w:val="none" w:sz="0" w:space="0" w:color="auto"/>
            <w:right w:val="none" w:sz="0" w:space="0" w:color="auto"/>
          </w:divBdr>
        </w:div>
        <w:div w:id="126318262">
          <w:marLeft w:val="0"/>
          <w:marRight w:val="0"/>
          <w:marTop w:val="0"/>
          <w:marBottom w:val="0"/>
          <w:divBdr>
            <w:top w:val="none" w:sz="0" w:space="0" w:color="auto"/>
            <w:left w:val="none" w:sz="0" w:space="0" w:color="auto"/>
            <w:bottom w:val="none" w:sz="0" w:space="0" w:color="auto"/>
            <w:right w:val="none" w:sz="0" w:space="0" w:color="auto"/>
          </w:divBdr>
        </w:div>
        <w:div w:id="1350642938">
          <w:marLeft w:val="0"/>
          <w:marRight w:val="0"/>
          <w:marTop w:val="0"/>
          <w:marBottom w:val="0"/>
          <w:divBdr>
            <w:top w:val="none" w:sz="0" w:space="0" w:color="auto"/>
            <w:left w:val="none" w:sz="0" w:space="0" w:color="auto"/>
            <w:bottom w:val="none" w:sz="0" w:space="0" w:color="auto"/>
            <w:right w:val="none" w:sz="0" w:space="0" w:color="auto"/>
          </w:divBdr>
        </w:div>
        <w:div w:id="389617706">
          <w:marLeft w:val="0"/>
          <w:marRight w:val="0"/>
          <w:marTop w:val="0"/>
          <w:marBottom w:val="0"/>
          <w:divBdr>
            <w:top w:val="none" w:sz="0" w:space="0" w:color="auto"/>
            <w:left w:val="none" w:sz="0" w:space="0" w:color="auto"/>
            <w:bottom w:val="none" w:sz="0" w:space="0" w:color="auto"/>
            <w:right w:val="none" w:sz="0" w:space="0" w:color="auto"/>
          </w:divBdr>
        </w:div>
        <w:div w:id="28457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yptolandpr.dmanalytics2.com/click?u=https%3A%2F%2Fwww.linkedin.com%2Fin%2Fandrecasterman%2F%3ForiginalSubdomain%3Dbe&amp;i=3&amp;d=YZSUGWINQ6eyieiRhe8-hQ&amp;e=jonathan.bell%40txfmedia.com&amp;a=lt-PduaRQJO0y6KUuGcptw&amp;s=bxmZ5uTvfZs" TargetMode="External"/><Relationship Id="rId5" Type="http://schemas.openxmlformats.org/officeDocument/2006/relationships/hyperlink" Target="https://cryptolandpr.dmanalytics2.com/click?u=https%3A%2F%2Fwww.tradefinancedistribution.com%2F&amp;i=2&amp;d=YZSUGWINQ6eyieiRhe8-hQ&amp;e=jonathan.bell%40txfmedia.com&amp;a=lt-PduaRQJO0y6KUuGcptw&amp;s=hVcGvgXOsiQ" TargetMode="External"/><Relationship Id="rId4" Type="http://schemas.openxmlformats.org/officeDocument/2006/relationships/hyperlink" Target="https://cryptolandpr.dmanalytics2.com/click?u=https%3A%2F%2Fxinfin.org%2F&amp;i=1&amp;d=YZSUGWINQ6eyieiRhe8-hQ&amp;e=jonathan.bell%40txfmedia.com&amp;a=lt-PduaRQJO0y6KUuGcptw&amp;s=kyvH42pTs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2021-08-18T09:39:00Z</dcterms:created>
  <dcterms:modified xsi:type="dcterms:W3CDTF">2021-08-18T09:40:00Z</dcterms:modified>
</cp:coreProperties>
</file>